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F661" w14:textId="5CAFDD48" w:rsidR="00F70724" w:rsidRDefault="0063720B" w:rsidP="00C409B9">
      <w:pPr>
        <w:pStyle w:val="Title"/>
        <w:spacing w:after="240"/>
      </w:pPr>
      <w:r>
        <w:t>Definitions of Homelessness u</w:t>
      </w:r>
      <w:r w:rsidR="00F70724" w:rsidRPr="00F70724">
        <w:t xml:space="preserve">sed by SOAR </w:t>
      </w:r>
      <w:r w:rsidR="00752B37">
        <w:t>and SSA</w:t>
      </w:r>
    </w:p>
    <w:p w14:paraId="1B9EF489" w14:textId="6EC9FAAB" w:rsidR="00C409B9" w:rsidRPr="00C409B9" w:rsidRDefault="00C409B9" w:rsidP="00C409B9">
      <w:r>
        <w:rPr>
          <w:rFonts w:eastAsia="MS Mincho"/>
          <w:noProof/>
          <w:spacing w:val="15"/>
          <w:szCs w:val="24"/>
        </w:rPr>
        <mc:AlternateContent>
          <mc:Choice Requires="wps">
            <w:drawing>
              <wp:inline distT="0" distB="0" distL="0" distR="0" wp14:anchorId="474A511C" wp14:editId="656D2AB9">
                <wp:extent cx="6492240" cy="1223158"/>
                <wp:effectExtent l="0" t="0" r="22860" b="152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223158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E4313" w14:textId="78F2325B" w:rsidR="00C409B9" w:rsidRDefault="00C409B9" w:rsidP="0055633C">
                            <w:pPr>
                              <w:spacing w:after="120" w:line="240" w:lineRule="auto"/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 xml:space="preserve">The Substance Abuse and Mental Health Services Administration (SAMHSA) </w:t>
                            </w:r>
                            <w:r w:rsidRPr="0063720B">
                              <w:rPr>
                                <w:rStyle w:val="Emphasis"/>
                                <w:i w:val="0"/>
                              </w:rPr>
                              <w:t>SSI/SSDI Outreach, Access</w:t>
                            </w:r>
                            <w:r>
                              <w:rPr>
                                <w:rStyle w:val="Emphasis"/>
                                <w:i w:val="0"/>
                              </w:rPr>
                              <w:t>,</w:t>
                            </w:r>
                            <w:r w:rsidRPr="0063720B">
                              <w:rPr>
                                <w:rStyle w:val="Emphasis"/>
                                <w:i w:val="0"/>
                              </w:rPr>
                              <w:t xml:space="preserve"> and Recovery (SOAR)</w:t>
                            </w:r>
                            <w:r w:rsidRPr="00323DF5">
                              <w:t xml:space="preserve"> </w:t>
                            </w:r>
                            <w:r>
                              <w:t>initiative is intended for individuals experienci</w:t>
                            </w:r>
                            <w:r w:rsidR="003A1191">
                              <w:t xml:space="preserve">ng or at risk of homelessness. </w:t>
                            </w:r>
                            <w:r w:rsidR="0055633C" w:rsidRPr="0055633C">
                              <w:t>The</w:t>
                            </w:r>
                            <w:r w:rsidR="0055633C">
                              <w:t>se</w:t>
                            </w:r>
                            <w:r w:rsidR="0055633C" w:rsidRPr="0055633C">
                              <w:t xml:space="preserve"> term</w:t>
                            </w:r>
                            <w:r w:rsidR="0055633C">
                              <w:t>s</w:t>
                            </w:r>
                            <w:r w:rsidR="0055633C" w:rsidRPr="0055633C">
                              <w:t xml:space="preserve"> </w:t>
                            </w:r>
                            <w:r w:rsidR="0055633C">
                              <w:t xml:space="preserve">are </w:t>
                            </w:r>
                            <w:r w:rsidR="0055633C" w:rsidRPr="0055633C">
                              <w:t xml:space="preserve">defined differently by SOAR and </w:t>
                            </w:r>
                            <w:r w:rsidR="0055633C">
                              <w:t xml:space="preserve">the Social Security Administration (SSA). </w:t>
                            </w:r>
                            <w:r w:rsidR="0055633C" w:rsidRPr="0055633C">
                              <w:t>It is important for SOAR providers to understand these differences when determining who meets the housing criteria to be a SOAR applicant and which cases can be expedited at SSA through the use of the “homeless flag.”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4A51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1.2pt;height:9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" fillcolor="#f2f7fc" strokecolor="#5b9bd5" strokeweight="1pt">
                <v:textbox>
                  <w:txbxContent>
                    <w:p w14:paraId="3D5E4313" w14:textId="78F2325B" w:rsidR="00C409B9" w:rsidRDefault="00C409B9" w:rsidP="0055633C">
                      <w:pPr>
                        <w:spacing w:after="120" w:line="240" w:lineRule="auto"/>
                      </w:pPr>
                      <w:r>
                        <w:rPr>
                          <w:rStyle w:val="Emphasis"/>
                          <w:i w:val="0"/>
                        </w:rPr>
                        <w:t xml:space="preserve">The Substance Abuse and Mental Health Services Administration (SAMHSA) </w:t>
                      </w:r>
                      <w:r w:rsidRPr="0063720B">
                        <w:rPr>
                          <w:rStyle w:val="Emphasis"/>
                          <w:i w:val="0"/>
                        </w:rPr>
                        <w:t>SSI/SSDI Outreach, Access</w:t>
                      </w:r>
                      <w:r>
                        <w:rPr>
                          <w:rStyle w:val="Emphasis"/>
                          <w:i w:val="0"/>
                        </w:rPr>
                        <w:t>,</w:t>
                      </w:r>
                      <w:r w:rsidRPr="0063720B">
                        <w:rPr>
                          <w:rStyle w:val="Emphasis"/>
                          <w:i w:val="0"/>
                        </w:rPr>
                        <w:t xml:space="preserve"> and Recovery (SOAR)</w:t>
                      </w:r>
                      <w:r w:rsidRPr="00323DF5">
                        <w:t xml:space="preserve"> </w:t>
                      </w:r>
                      <w:r>
                        <w:t>initiative is intended for individuals experienci</w:t>
                      </w:r>
                      <w:r w:rsidR="003A1191">
                        <w:t xml:space="preserve">ng or at risk of homelessness. </w:t>
                      </w:r>
                      <w:r w:rsidR="0055633C" w:rsidRPr="0055633C">
                        <w:t>The</w:t>
                      </w:r>
                      <w:r w:rsidR="0055633C">
                        <w:t>se</w:t>
                      </w:r>
                      <w:r w:rsidR="0055633C" w:rsidRPr="0055633C">
                        <w:t xml:space="preserve"> term</w:t>
                      </w:r>
                      <w:r w:rsidR="0055633C">
                        <w:t>s</w:t>
                      </w:r>
                      <w:r w:rsidR="0055633C" w:rsidRPr="0055633C">
                        <w:t xml:space="preserve"> </w:t>
                      </w:r>
                      <w:r w:rsidR="0055633C">
                        <w:t xml:space="preserve">are </w:t>
                      </w:r>
                      <w:r w:rsidR="0055633C" w:rsidRPr="0055633C">
                        <w:t xml:space="preserve">defined differently by SOAR and </w:t>
                      </w:r>
                      <w:r w:rsidR="0055633C">
                        <w:t xml:space="preserve">the Social Security Administration (SSA). </w:t>
                      </w:r>
                      <w:r w:rsidR="0055633C" w:rsidRPr="0055633C">
                        <w:t>It is important for SOAR providers to understand these differences when determining who meets the housing criteria to be a SOAR applicant and which cases can be expedited at SSA through the use of the “homeless flag.”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5ED23" w14:textId="41BE8786" w:rsidR="00662208" w:rsidRPr="00B8344C" w:rsidRDefault="00F70724" w:rsidP="00B84C26">
      <w:pPr>
        <w:pStyle w:val="Heading1"/>
        <w:rPr>
          <w:szCs w:val="24"/>
        </w:rPr>
      </w:pPr>
      <w:r w:rsidRPr="00B8344C">
        <w:rPr>
          <w:szCs w:val="24"/>
        </w:rPr>
        <w:t>SOAR Homeless</w:t>
      </w:r>
      <w:r w:rsidR="003D16AC" w:rsidRPr="00B8344C">
        <w:rPr>
          <w:szCs w:val="24"/>
        </w:rPr>
        <w:t>ness</w:t>
      </w:r>
      <w:r w:rsidRPr="00B8344C">
        <w:rPr>
          <w:szCs w:val="24"/>
        </w:rPr>
        <w:t xml:space="preserve"> and At</w:t>
      </w:r>
      <w:r w:rsidR="0057265D">
        <w:rPr>
          <w:szCs w:val="24"/>
        </w:rPr>
        <w:t xml:space="preserve"> </w:t>
      </w:r>
      <w:r w:rsidRPr="00B8344C">
        <w:rPr>
          <w:szCs w:val="24"/>
        </w:rPr>
        <w:t xml:space="preserve">Risk </w:t>
      </w:r>
      <w:r w:rsidR="00BD656F" w:rsidRPr="00B8344C">
        <w:rPr>
          <w:szCs w:val="24"/>
        </w:rPr>
        <w:t xml:space="preserve">of Homelessness </w:t>
      </w:r>
      <w:r w:rsidRPr="00B8344C">
        <w:rPr>
          <w:szCs w:val="24"/>
        </w:rPr>
        <w:t>Definitions</w:t>
      </w:r>
    </w:p>
    <w:p w14:paraId="1C6B0489" w14:textId="11447A9B" w:rsidR="00181F3D" w:rsidRDefault="00181F3D" w:rsidP="00181F3D">
      <w:pPr>
        <w:spacing w:after="240" w:line="240" w:lineRule="auto"/>
        <w:rPr>
          <w:rFonts w:cs="Helvetica"/>
        </w:rPr>
      </w:pPr>
      <w:r>
        <w:rPr>
          <w:rFonts w:cs="Helvetica"/>
        </w:rPr>
        <w:t xml:space="preserve">The SOAR model follows the definitions of “homeless” and “at risk of homelessness” used by the U.S. </w:t>
      </w:r>
      <w:r w:rsidRPr="00181F3D">
        <w:rPr>
          <w:rFonts w:cs="Helvetica"/>
        </w:rPr>
        <w:t>Department of Housing and Urban Development (HUD)</w:t>
      </w:r>
      <w:r>
        <w:rPr>
          <w:rFonts w:cs="Helvetica"/>
        </w:rPr>
        <w:t xml:space="preserve">. The statutory language of these definitions is derived from the </w:t>
      </w:r>
      <w:r w:rsidRPr="00181F3D">
        <w:rPr>
          <w:rFonts w:cs="Helvetica"/>
        </w:rPr>
        <w:t>McKinney-Vento Homeless Assistance Act, as amended by</w:t>
      </w:r>
      <w:r>
        <w:rPr>
          <w:rFonts w:cs="Helvetica"/>
        </w:rPr>
        <w:t xml:space="preserve"> </w:t>
      </w:r>
      <w:r w:rsidRPr="00181F3D">
        <w:rPr>
          <w:rFonts w:cs="Helvetica"/>
        </w:rPr>
        <w:t>the Homeless Emergency Assistance and Rapid Transition to Housing (HEARTH) Act of 2009</w:t>
      </w:r>
      <w:r>
        <w:rPr>
          <w:rFonts w:cs="Helvetica"/>
        </w:rPr>
        <w:t xml:space="preserve">. </w:t>
      </w:r>
    </w:p>
    <w:p w14:paraId="5099AC9F" w14:textId="4D2118B7" w:rsidR="00181F3D" w:rsidRDefault="004E5833" w:rsidP="00772809">
      <w:pPr>
        <w:spacing w:after="120" w:line="240" w:lineRule="auto"/>
        <w:rPr>
          <w:rFonts w:cs="Helvetica"/>
        </w:rPr>
      </w:pPr>
      <w:r>
        <w:rPr>
          <w:rFonts w:cs="Helvetica"/>
        </w:rPr>
        <w:t xml:space="preserve">The definition of those who are </w:t>
      </w:r>
      <w:r w:rsidRPr="004E5833">
        <w:rPr>
          <w:rStyle w:val="Strong"/>
        </w:rPr>
        <w:t>experiencing homelessness</w:t>
      </w:r>
      <w:r>
        <w:rPr>
          <w:rFonts w:cs="Helvetica"/>
        </w:rPr>
        <w:t xml:space="preserve"> includes:</w:t>
      </w:r>
    </w:p>
    <w:p w14:paraId="1E457135" w14:textId="433C6D7B" w:rsidR="00BD656F" w:rsidRDefault="00D13F1D" w:rsidP="001B5612">
      <w:pPr>
        <w:pStyle w:val="ListParagraph"/>
        <w:numPr>
          <w:ilvl w:val="0"/>
          <w:numId w:val="35"/>
        </w:numPr>
        <w:spacing w:after="160" w:line="240" w:lineRule="auto"/>
        <w:rPr>
          <w:rFonts w:cs="Helvetica"/>
        </w:rPr>
      </w:pPr>
      <w:r w:rsidRPr="00D13F1D">
        <w:rPr>
          <w:rFonts w:cs="Helvetica"/>
        </w:rPr>
        <w:t>An individual or family who lacks a fixed, regular, and adequate nighttime residence</w:t>
      </w:r>
      <w:r w:rsidR="00BD656F">
        <w:rPr>
          <w:rFonts w:cs="Helvetica"/>
        </w:rPr>
        <w:t>, such as those living in emergency shelters, transitional housing, or places not meant for habitation</w:t>
      </w:r>
      <w:r w:rsidR="00431748">
        <w:rPr>
          <w:rFonts w:cs="Helvetica"/>
        </w:rPr>
        <w:t xml:space="preserve">, </w:t>
      </w:r>
      <w:r w:rsidR="00431748" w:rsidRPr="00DD4DB5">
        <w:rPr>
          <w:rStyle w:val="Strong"/>
        </w:rPr>
        <w:t>or</w:t>
      </w:r>
    </w:p>
    <w:p w14:paraId="67B95C91" w14:textId="0040EA38" w:rsidR="004E5833" w:rsidRDefault="00BD656F" w:rsidP="001B5612">
      <w:pPr>
        <w:pStyle w:val="ListParagraph"/>
        <w:numPr>
          <w:ilvl w:val="0"/>
          <w:numId w:val="35"/>
        </w:numPr>
        <w:spacing w:after="160" w:line="240" w:lineRule="auto"/>
        <w:rPr>
          <w:rFonts w:cs="Helvetica"/>
        </w:rPr>
      </w:pPr>
      <w:r w:rsidRPr="00BD656F">
        <w:rPr>
          <w:rFonts w:cs="Helvetica"/>
        </w:rPr>
        <w:t>An individual or family who will imminently lose their primary nighttime residence</w:t>
      </w:r>
      <w:r w:rsidR="00A02E08">
        <w:rPr>
          <w:rFonts w:cs="Helvetica"/>
        </w:rPr>
        <w:t xml:space="preserve"> (within 14 days)</w:t>
      </w:r>
      <w:r w:rsidRPr="00BD656F">
        <w:rPr>
          <w:rFonts w:cs="Helvetica"/>
        </w:rPr>
        <w:t>, provided that</w:t>
      </w:r>
      <w:r>
        <w:rPr>
          <w:rFonts w:cs="Helvetica"/>
        </w:rPr>
        <w:t xml:space="preserve"> </w:t>
      </w:r>
      <w:r w:rsidR="00A02E08">
        <w:rPr>
          <w:rFonts w:cs="Helvetica"/>
        </w:rPr>
        <w:t>no subsequent housing has been identified and the individual/family lacks support networks or resources needed to obtain housing</w:t>
      </w:r>
      <w:r w:rsidR="00431748">
        <w:rPr>
          <w:rFonts w:cs="Helvetica"/>
        </w:rPr>
        <w:t xml:space="preserve">, </w:t>
      </w:r>
      <w:r w:rsidR="00431748" w:rsidRPr="00DD4DB5">
        <w:rPr>
          <w:rStyle w:val="Strong"/>
        </w:rPr>
        <w:t>or</w:t>
      </w:r>
    </w:p>
    <w:p w14:paraId="59AF921B" w14:textId="04636036" w:rsidR="00A02E08" w:rsidRDefault="00A02E08" w:rsidP="001B5612">
      <w:pPr>
        <w:pStyle w:val="ListParagraph"/>
        <w:numPr>
          <w:ilvl w:val="0"/>
          <w:numId w:val="35"/>
        </w:numPr>
        <w:spacing w:after="160" w:line="240" w:lineRule="auto"/>
        <w:rPr>
          <w:rFonts w:cs="Helvetica"/>
        </w:rPr>
      </w:pPr>
      <w:r w:rsidRPr="00281657">
        <w:rPr>
          <w:rFonts w:cs="Helvetica"/>
        </w:rPr>
        <w:t xml:space="preserve">Unaccompanied youth under 25 years of age, or families with children and youth who qualify </w:t>
      </w:r>
      <w:r w:rsidR="008755CD">
        <w:rPr>
          <w:rFonts w:cs="Helvetica"/>
        </w:rPr>
        <w:t xml:space="preserve">as homeless </w:t>
      </w:r>
      <w:r w:rsidRPr="00281657">
        <w:rPr>
          <w:rFonts w:cs="Helvetica"/>
        </w:rPr>
        <w:t>under other Federal statutes, such as the</w:t>
      </w:r>
      <w:r w:rsidR="00281657">
        <w:rPr>
          <w:rFonts w:cs="Helvetica"/>
        </w:rPr>
        <w:t xml:space="preserve"> Runaway and Homeless Youth Act</w:t>
      </w:r>
      <w:r w:rsidR="008755CD">
        <w:rPr>
          <w:rFonts w:cs="Helvetica"/>
        </w:rPr>
        <w:t xml:space="preserve">; </w:t>
      </w:r>
      <w:r w:rsidR="00281657" w:rsidRPr="00281657">
        <w:rPr>
          <w:rFonts w:cs="Helvetica"/>
        </w:rPr>
        <w:t>have not had a lease or ownership interest in a housing unit in the last 60 or more days</w:t>
      </w:r>
      <w:r w:rsidR="00281657">
        <w:rPr>
          <w:rFonts w:cs="Helvetica"/>
        </w:rPr>
        <w:t xml:space="preserve">, </w:t>
      </w:r>
      <w:r w:rsidR="00281657" w:rsidRPr="00281657">
        <w:rPr>
          <w:rFonts w:cs="Helvetica"/>
        </w:rPr>
        <w:t xml:space="preserve">have had two or more moves in the last 60 days, and who are likely to continue to be unstably housed because of disability or </w:t>
      </w:r>
      <w:r w:rsidR="00281657">
        <w:rPr>
          <w:rFonts w:cs="Helvetica"/>
        </w:rPr>
        <w:t>multiple barriers to employment</w:t>
      </w:r>
      <w:r w:rsidR="00431748">
        <w:rPr>
          <w:rFonts w:cs="Helvetica"/>
        </w:rPr>
        <w:t xml:space="preserve">, </w:t>
      </w:r>
      <w:r w:rsidR="00431748" w:rsidRPr="00DD4DB5">
        <w:rPr>
          <w:rStyle w:val="Strong"/>
        </w:rPr>
        <w:t>or</w:t>
      </w:r>
    </w:p>
    <w:p w14:paraId="4E9C8A8A" w14:textId="268A4D7E" w:rsidR="002208D7" w:rsidRDefault="00281657" w:rsidP="002208D7">
      <w:pPr>
        <w:pStyle w:val="ListParagraph"/>
        <w:numPr>
          <w:ilvl w:val="0"/>
          <w:numId w:val="35"/>
        </w:numPr>
        <w:spacing w:after="240" w:line="240" w:lineRule="auto"/>
        <w:rPr>
          <w:rFonts w:cs="Helvetica"/>
        </w:rPr>
      </w:pPr>
      <w:r>
        <w:rPr>
          <w:rFonts w:cs="Helvetica"/>
        </w:rPr>
        <w:t xml:space="preserve">An individual or family who is </w:t>
      </w:r>
      <w:r w:rsidRPr="00281657">
        <w:rPr>
          <w:rFonts w:cs="Helvetica"/>
        </w:rPr>
        <w:t xml:space="preserve">fleeing or attempting to flee domestic violence, </w:t>
      </w:r>
      <w:r>
        <w:rPr>
          <w:rFonts w:cs="Helvetica"/>
        </w:rPr>
        <w:t>has</w:t>
      </w:r>
      <w:r w:rsidRPr="00281657">
        <w:rPr>
          <w:rFonts w:cs="Helvetica"/>
        </w:rPr>
        <w:t xml:space="preserve"> no other residence, and lack</w:t>
      </w:r>
      <w:r>
        <w:rPr>
          <w:rFonts w:cs="Helvetica"/>
        </w:rPr>
        <w:t>s</w:t>
      </w:r>
      <w:r w:rsidRPr="00281657">
        <w:rPr>
          <w:rFonts w:cs="Helvetica"/>
        </w:rPr>
        <w:t xml:space="preserve"> the resources or support networks to</w:t>
      </w:r>
      <w:r>
        <w:rPr>
          <w:rFonts w:cs="Helvetica"/>
        </w:rPr>
        <w:t xml:space="preserve"> obtain other permanent housing</w:t>
      </w:r>
    </w:p>
    <w:p w14:paraId="2DE10B53" w14:textId="77777777" w:rsidR="00A829FC" w:rsidRDefault="002208D7" w:rsidP="00CD5624">
      <w:pPr>
        <w:spacing w:after="120" w:line="240" w:lineRule="auto"/>
        <w:rPr>
          <w:rFonts w:cs="Helvetica"/>
        </w:rPr>
      </w:pPr>
      <w:r>
        <w:rPr>
          <w:rFonts w:cs="Helvetica"/>
        </w:rPr>
        <w:t xml:space="preserve">The definition of those who are </w:t>
      </w:r>
      <w:r w:rsidRPr="002208D7">
        <w:rPr>
          <w:rStyle w:val="Strong"/>
        </w:rPr>
        <w:t>at risk of homelessness</w:t>
      </w:r>
      <w:r>
        <w:rPr>
          <w:rFonts w:cs="Helvetica"/>
        </w:rPr>
        <w:t xml:space="preserve"> includes</w:t>
      </w:r>
      <w:r w:rsidR="00A829FC">
        <w:rPr>
          <w:rFonts w:cs="Helvetica"/>
        </w:rPr>
        <w:t xml:space="preserve"> individuals and families who</w:t>
      </w:r>
      <w:r>
        <w:rPr>
          <w:rFonts w:cs="Helvetica"/>
        </w:rPr>
        <w:t>:</w:t>
      </w:r>
    </w:p>
    <w:p w14:paraId="3AAED2DA" w14:textId="4685056B" w:rsidR="00A829FC" w:rsidRDefault="00A829FC" w:rsidP="001B5612">
      <w:pPr>
        <w:pStyle w:val="ListParagraph"/>
        <w:numPr>
          <w:ilvl w:val="0"/>
          <w:numId w:val="36"/>
        </w:numPr>
        <w:spacing w:after="160" w:line="240" w:lineRule="auto"/>
        <w:rPr>
          <w:rFonts w:cs="Helvetica"/>
        </w:rPr>
      </w:pPr>
      <w:r w:rsidRPr="00A829FC">
        <w:rPr>
          <w:rFonts w:cs="Helvetica"/>
        </w:rPr>
        <w:t>Ha</w:t>
      </w:r>
      <w:r>
        <w:rPr>
          <w:rFonts w:cs="Helvetica"/>
        </w:rPr>
        <w:t>ve</w:t>
      </w:r>
      <w:r w:rsidRPr="00A829FC">
        <w:rPr>
          <w:rFonts w:cs="Helvetica"/>
        </w:rPr>
        <w:t xml:space="preserve"> an annual income below 30 percent of median family income for the area, as determined by HUD</w:t>
      </w:r>
      <w:r>
        <w:rPr>
          <w:rFonts w:cs="Helvetica"/>
        </w:rPr>
        <w:t xml:space="preserve">, </w:t>
      </w:r>
      <w:r w:rsidRPr="00DD4DB5">
        <w:rPr>
          <w:rStyle w:val="Strong"/>
        </w:rPr>
        <w:t>and</w:t>
      </w:r>
    </w:p>
    <w:p w14:paraId="22CBB224" w14:textId="7E82B92D" w:rsidR="002208D7" w:rsidRDefault="00A829FC" w:rsidP="001B5612">
      <w:pPr>
        <w:pStyle w:val="ListParagraph"/>
        <w:numPr>
          <w:ilvl w:val="0"/>
          <w:numId w:val="36"/>
        </w:numPr>
        <w:spacing w:after="160" w:line="240" w:lineRule="auto"/>
        <w:rPr>
          <w:rFonts w:cs="Helvetica"/>
        </w:rPr>
      </w:pPr>
      <w:r>
        <w:rPr>
          <w:rFonts w:cs="Helvetica"/>
        </w:rPr>
        <w:t>Do</w:t>
      </w:r>
      <w:r w:rsidRPr="00A829FC">
        <w:rPr>
          <w:rFonts w:cs="Helvetica"/>
        </w:rPr>
        <w:t xml:space="preserve"> not have sufficient resources or support networks immediately available to prevent them from moving to an emergency shelter or</w:t>
      </w:r>
      <w:r w:rsidR="002208D7" w:rsidRPr="00A829FC">
        <w:rPr>
          <w:rFonts w:cs="Helvetica"/>
        </w:rPr>
        <w:t xml:space="preserve"> </w:t>
      </w:r>
      <w:r>
        <w:rPr>
          <w:rFonts w:cs="Helvetica"/>
        </w:rPr>
        <w:t xml:space="preserve">place not meant for habitation, </w:t>
      </w:r>
      <w:r w:rsidRPr="00DD4DB5">
        <w:rPr>
          <w:rStyle w:val="Strong"/>
        </w:rPr>
        <w:t>and</w:t>
      </w:r>
    </w:p>
    <w:p w14:paraId="769788DD" w14:textId="62F46FBB" w:rsidR="00CD5624" w:rsidRDefault="00A829FC" w:rsidP="00CD5624">
      <w:pPr>
        <w:pStyle w:val="ListParagraph"/>
        <w:numPr>
          <w:ilvl w:val="0"/>
          <w:numId w:val="36"/>
        </w:numPr>
        <w:spacing w:after="240" w:line="240" w:lineRule="auto"/>
        <w:rPr>
          <w:rFonts w:cs="Helvetica"/>
        </w:rPr>
      </w:pPr>
      <w:r>
        <w:rPr>
          <w:rFonts w:cs="Helvetica"/>
        </w:rPr>
        <w:t>Exhibit one or more risk factors of homelessness, including recent housing instability or exiting a publicly fun</w:t>
      </w:r>
      <w:r w:rsidR="003A1191">
        <w:rPr>
          <w:rFonts w:cs="Helvetica"/>
        </w:rPr>
        <w:t>ded institution or system of car</w:t>
      </w:r>
      <w:r w:rsidR="00821E33">
        <w:rPr>
          <w:rFonts w:cs="Helvetica"/>
        </w:rPr>
        <w:t xml:space="preserve">e such as foster care, </w:t>
      </w:r>
      <w:r w:rsidR="00DD4DB5">
        <w:rPr>
          <w:rFonts w:cs="Helvetica"/>
        </w:rPr>
        <w:t>mental health facility</w:t>
      </w:r>
      <w:r w:rsidR="00F77F31">
        <w:rPr>
          <w:rFonts w:cs="Helvetica"/>
        </w:rPr>
        <w:t>, or correctional institution</w:t>
      </w:r>
    </w:p>
    <w:p w14:paraId="54F44A52" w14:textId="3CA42F2A" w:rsidR="007A678C" w:rsidRPr="00CD5624" w:rsidRDefault="007A678C" w:rsidP="00CD5624">
      <w:pPr>
        <w:spacing w:before="240" w:after="160" w:line="240" w:lineRule="auto"/>
        <w:rPr>
          <w:rFonts w:cs="Helvetica"/>
        </w:rPr>
      </w:pPr>
      <w:r w:rsidRPr="00CD5624">
        <w:rPr>
          <w:rFonts w:cs="Helvetica"/>
        </w:rPr>
        <w:t xml:space="preserve">SOAR is also appropriate for individuals who are being served by </w:t>
      </w:r>
      <w:r w:rsidR="001A532A">
        <w:rPr>
          <w:rFonts w:cs="Helvetica"/>
        </w:rPr>
        <w:t>U.S. Department of Veterans Affairs (VA) Supportive Services for Veteran Families (</w:t>
      </w:r>
      <w:r w:rsidRPr="00CD5624">
        <w:rPr>
          <w:rFonts w:cs="Helvetica"/>
        </w:rPr>
        <w:t>SSV</w:t>
      </w:r>
      <w:r w:rsidR="001A532A">
        <w:rPr>
          <w:rFonts w:cs="Helvetica"/>
        </w:rPr>
        <w:t>F)</w:t>
      </w:r>
      <w:r w:rsidRPr="00CD5624">
        <w:rPr>
          <w:rFonts w:cs="Helvetica"/>
        </w:rPr>
        <w:t>,</w:t>
      </w:r>
      <w:r w:rsidR="001A532A">
        <w:rPr>
          <w:rFonts w:cs="Helvetica"/>
        </w:rPr>
        <w:t xml:space="preserve"> U.S. Department of Housing and Urban Development-VA Supportive Housing</w:t>
      </w:r>
      <w:r w:rsidRPr="00CD5624">
        <w:rPr>
          <w:rFonts w:cs="Helvetica"/>
        </w:rPr>
        <w:t xml:space="preserve"> </w:t>
      </w:r>
      <w:r w:rsidR="001A532A">
        <w:rPr>
          <w:rFonts w:cs="Helvetica"/>
        </w:rPr>
        <w:t>(</w:t>
      </w:r>
      <w:r w:rsidRPr="00CD5624">
        <w:rPr>
          <w:rFonts w:cs="Helvetica"/>
        </w:rPr>
        <w:t>HUD-VASH</w:t>
      </w:r>
      <w:r w:rsidR="001A532A">
        <w:rPr>
          <w:rFonts w:cs="Helvetica"/>
        </w:rPr>
        <w:t>)</w:t>
      </w:r>
      <w:r w:rsidRPr="00CD5624">
        <w:rPr>
          <w:rFonts w:cs="Helvetica"/>
        </w:rPr>
        <w:t>, Housing First</w:t>
      </w:r>
      <w:r w:rsidR="00DD4DB5">
        <w:rPr>
          <w:rFonts w:cs="Helvetica"/>
        </w:rPr>
        <w:t>,</w:t>
      </w:r>
      <w:r w:rsidRPr="00CD5624">
        <w:rPr>
          <w:rFonts w:cs="Helvetica"/>
        </w:rPr>
        <w:t xml:space="preserve"> and other Permanent Supporti</w:t>
      </w:r>
      <w:bookmarkStart w:id="0" w:name="_GoBack"/>
      <w:bookmarkEnd w:id="0"/>
      <w:r w:rsidRPr="00CD5624">
        <w:rPr>
          <w:rFonts w:cs="Helvetica"/>
        </w:rPr>
        <w:t xml:space="preserve">ve </w:t>
      </w:r>
      <w:r w:rsidRPr="00CD5624">
        <w:rPr>
          <w:rFonts w:cs="Helvetica"/>
        </w:rPr>
        <w:lastRenderedPageBreak/>
        <w:t>Housing for those who were rec</w:t>
      </w:r>
      <w:r w:rsidR="00534CEF">
        <w:rPr>
          <w:rFonts w:cs="Helvetica"/>
        </w:rPr>
        <w:t>ently experiencing homelessness</w:t>
      </w:r>
      <w:r w:rsidRPr="00CD5624">
        <w:rPr>
          <w:rFonts w:cs="Helvetica"/>
        </w:rPr>
        <w:t xml:space="preserve"> and who are relying on grant support or have limited income to sustain their housing.  </w:t>
      </w:r>
    </w:p>
    <w:p w14:paraId="04BD2AD2" w14:textId="3AD4204E" w:rsidR="00F70724" w:rsidRPr="00B8344C" w:rsidRDefault="00F70724" w:rsidP="007A678C">
      <w:pPr>
        <w:pStyle w:val="Heading1"/>
        <w:rPr>
          <w:rStyle w:val="Strong"/>
          <w:b w:val="0"/>
        </w:rPr>
      </w:pPr>
      <w:r w:rsidRPr="00B8344C">
        <w:t>SSA Homeless</w:t>
      </w:r>
      <w:r w:rsidR="003D16AC" w:rsidRPr="00B8344C">
        <w:t>ness</w:t>
      </w:r>
      <w:r w:rsidRPr="00B8344C">
        <w:t xml:space="preserve"> Definitions</w:t>
      </w:r>
      <w:r w:rsidRPr="00B8344C">
        <w:rPr>
          <w:rStyle w:val="Strong"/>
          <w:b w:val="0"/>
        </w:rPr>
        <w:t xml:space="preserve"> </w:t>
      </w:r>
    </w:p>
    <w:p w14:paraId="099ED449" w14:textId="362B2C72" w:rsidR="008D3D30" w:rsidRDefault="00271F13" w:rsidP="0055633C">
      <w:pPr>
        <w:spacing w:after="24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The </w:t>
      </w:r>
      <w:r w:rsidR="00752B37">
        <w:rPr>
          <w:rStyle w:val="Strong"/>
          <w:b w:val="0"/>
        </w:rPr>
        <w:t xml:space="preserve">SSA </w:t>
      </w:r>
      <w:r w:rsidR="00064AEA">
        <w:rPr>
          <w:rStyle w:val="Strong"/>
          <w:b w:val="0"/>
        </w:rPr>
        <w:t>definition</w:t>
      </w:r>
      <w:r w:rsidR="00F70724" w:rsidRPr="00F70724">
        <w:rPr>
          <w:rStyle w:val="Strong"/>
          <w:b w:val="0"/>
        </w:rPr>
        <w:t xml:space="preserve"> of homelessness </w:t>
      </w:r>
      <w:r w:rsidR="00064AEA">
        <w:rPr>
          <w:rStyle w:val="Strong"/>
          <w:b w:val="0"/>
        </w:rPr>
        <w:t>is</w:t>
      </w:r>
      <w:r w:rsidR="00F70724" w:rsidRPr="00F70724">
        <w:rPr>
          <w:rStyle w:val="Strong"/>
          <w:b w:val="0"/>
        </w:rPr>
        <w:t xml:space="preserve"> more closely aligned to literal homelessness. </w:t>
      </w:r>
      <w:r w:rsidR="008D3D30">
        <w:rPr>
          <w:rStyle w:val="Strong"/>
          <w:b w:val="0"/>
        </w:rPr>
        <w:t xml:space="preserve">Applicants who meet the criteria below will receive expedited processing at SSA through the use of a “homeless flag” on their electronic application. </w:t>
      </w:r>
    </w:p>
    <w:p w14:paraId="3F56676B" w14:textId="3AAAC6D8" w:rsidR="00F70724" w:rsidRDefault="007A678C" w:rsidP="00772809">
      <w:pPr>
        <w:spacing w:after="120" w:line="240" w:lineRule="auto"/>
        <w:rPr>
          <w:rStyle w:val="Strong"/>
          <w:b w:val="0"/>
        </w:rPr>
      </w:pPr>
      <w:r>
        <w:rPr>
          <w:rStyle w:val="Emphasis"/>
        </w:rPr>
        <w:t>Homeless</w:t>
      </w:r>
      <w:r w:rsidR="00C4155D">
        <w:rPr>
          <w:rStyle w:val="Emphasis"/>
        </w:rPr>
        <w:t xml:space="preserve"> or</w:t>
      </w:r>
      <w:r w:rsidR="00BE1137">
        <w:rPr>
          <w:rStyle w:val="Emphasis"/>
        </w:rPr>
        <w:t xml:space="preserve"> </w:t>
      </w:r>
      <w:r w:rsidR="00F70724" w:rsidRPr="0063720B">
        <w:rPr>
          <w:rStyle w:val="Emphasis"/>
        </w:rPr>
        <w:t xml:space="preserve">Transient (Living Arrangement): </w:t>
      </w:r>
      <w:r w:rsidR="00F70724" w:rsidRPr="00F70724">
        <w:rPr>
          <w:rStyle w:val="Strong"/>
          <w:b w:val="0"/>
        </w:rPr>
        <w:t>An individual with no permanent living arrangement, i.e., no fixed place of residence, is considered homeless or transient. Someone who is transient is neither a member of a household nor a resident of an institution. For example:</w:t>
      </w:r>
    </w:p>
    <w:p w14:paraId="70CA4BAF" w14:textId="77777777" w:rsidR="00F70724" w:rsidRDefault="00F70724" w:rsidP="00772809">
      <w:pPr>
        <w:pStyle w:val="ListParagraph"/>
        <w:spacing w:after="120" w:line="240" w:lineRule="auto"/>
        <w:rPr>
          <w:rStyle w:val="Strong"/>
          <w:b w:val="0"/>
        </w:rPr>
      </w:pPr>
      <w:r w:rsidRPr="00F70724">
        <w:rPr>
          <w:rStyle w:val="Strong"/>
          <w:b w:val="0"/>
        </w:rPr>
        <w:t>Someone who sleeps in doorways, overnight shelters, parks, bus stations, etc.</w:t>
      </w:r>
    </w:p>
    <w:p w14:paraId="1BC67449" w14:textId="77777777" w:rsidR="009B4167" w:rsidRDefault="00F70724" w:rsidP="00772809">
      <w:pPr>
        <w:pStyle w:val="ListParagraph"/>
        <w:spacing w:after="120" w:line="240" w:lineRule="auto"/>
        <w:rPr>
          <w:rStyle w:val="Strong"/>
          <w:b w:val="0"/>
        </w:rPr>
      </w:pPr>
      <w:r w:rsidRPr="00F70724">
        <w:rPr>
          <w:rStyle w:val="Strong"/>
          <w:b w:val="0"/>
        </w:rPr>
        <w:t>A person who stays with a succession of friends or relatives and has no permanent living   arrangement on the first moment of the month</w:t>
      </w:r>
    </w:p>
    <w:p w14:paraId="52CF5A8D" w14:textId="0DC37D24" w:rsidR="009B4167" w:rsidRPr="0060362D" w:rsidRDefault="00F70724" w:rsidP="0055633C">
      <w:pPr>
        <w:pStyle w:val="ListParagraph"/>
        <w:spacing w:after="240" w:line="240" w:lineRule="auto"/>
        <w:rPr>
          <w:rStyle w:val="Strong"/>
          <w:b w:val="0"/>
          <w:szCs w:val="24"/>
        </w:rPr>
      </w:pPr>
      <w:r w:rsidRPr="0060362D">
        <w:rPr>
          <w:rStyle w:val="SubtleEmphasis"/>
          <w:szCs w:val="24"/>
        </w:rPr>
        <w:t xml:space="preserve">Source: </w:t>
      </w:r>
      <w:hyperlink r:id="rId11" w:history="1">
        <w:r w:rsidR="00385B4C" w:rsidRPr="0060362D">
          <w:rPr>
            <w:rStyle w:val="Hyperlink"/>
            <w:szCs w:val="24"/>
          </w:rPr>
          <w:t>https://secure.ssa.gov/apps10/poms.nsf/lnx/0500835060</w:t>
        </w:r>
      </w:hyperlink>
      <w:r w:rsidR="00DF67A7" w:rsidRPr="0060362D">
        <w:rPr>
          <w:szCs w:val="24"/>
        </w:rPr>
        <w:t xml:space="preserve">   </w:t>
      </w:r>
      <w:r w:rsidR="00DF67A7" w:rsidRPr="0060362D">
        <w:rPr>
          <w:rStyle w:val="SubtleEmphasis"/>
          <w:szCs w:val="24"/>
        </w:rPr>
        <w:t xml:space="preserve"> </w:t>
      </w:r>
    </w:p>
    <w:p w14:paraId="77D1AD35" w14:textId="35DEB240" w:rsidR="009B4167" w:rsidRDefault="00F70724" w:rsidP="00772809">
      <w:pPr>
        <w:spacing w:after="120" w:line="240" w:lineRule="auto"/>
        <w:rPr>
          <w:rStyle w:val="Strong"/>
          <w:b w:val="0"/>
        </w:rPr>
      </w:pPr>
      <w:r w:rsidRPr="0063720B">
        <w:rPr>
          <w:rStyle w:val="Emphasis"/>
        </w:rPr>
        <w:t xml:space="preserve">Homeless Flag (Electronic Folder Flag): </w:t>
      </w:r>
      <w:r w:rsidRPr="00F70724">
        <w:rPr>
          <w:rStyle w:val="Strong"/>
          <w:b w:val="0"/>
        </w:rPr>
        <w:t xml:space="preserve">The homeless flag is </w:t>
      </w:r>
      <w:r w:rsidR="002A76AA">
        <w:rPr>
          <w:rStyle w:val="Strong"/>
          <w:b w:val="0"/>
        </w:rPr>
        <w:t xml:space="preserve">added to the electronic folder </w:t>
      </w:r>
      <w:r w:rsidR="00CB433F">
        <w:rPr>
          <w:rStyle w:val="Strong"/>
          <w:b w:val="0"/>
        </w:rPr>
        <w:t>w</w:t>
      </w:r>
      <w:r w:rsidRPr="00F70724">
        <w:rPr>
          <w:rStyle w:val="Strong"/>
          <w:b w:val="0"/>
        </w:rPr>
        <w:t>hen it is alleged or apparent</w:t>
      </w:r>
      <w:r w:rsidR="002A76AA">
        <w:rPr>
          <w:rStyle w:val="Strong"/>
          <w:b w:val="0"/>
        </w:rPr>
        <w:t xml:space="preserve"> that the claimant is homeless.</w:t>
      </w:r>
      <w:r w:rsidRPr="00F70724">
        <w:rPr>
          <w:rStyle w:val="Strong"/>
          <w:b w:val="0"/>
        </w:rPr>
        <w:t xml:space="preserve"> </w:t>
      </w:r>
    </w:p>
    <w:p w14:paraId="4100443B" w14:textId="05BB2EE6" w:rsidR="00064AEA" w:rsidRPr="00154F84" w:rsidRDefault="00154F84" w:rsidP="00870629">
      <w:pPr>
        <w:pStyle w:val="ListParagraph"/>
        <w:numPr>
          <w:ilvl w:val="0"/>
          <w:numId w:val="34"/>
        </w:numPr>
        <w:spacing w:after="120" w:line="240" w:lineRule="auto"/>
        <w:rPr>
          <w:rStyle w:val="SubtleEmphasis"/>
          <w:i w:val="0"/>
          <w:iCs w:val="0"/>
          <w:color w:val="auto"/>
          <w:szCs w:val="24"/>
        </w:rPr>
      </w:pPr>
      <w:r>
        <w:rPr>
          <w:rStyle w:val="SubtleEmphasis"/>
          <w:i w:val="0"/>
          <w:iCs w:val="0"/>
          <w:color w:val="auto"/>
          <w:szCs w:val="24"/>
        </w:rPr>
        <w:t>SSA’s</w:t>
      </w:r>
      <w:r w:rsidR="004215B9" w:rsidRPr="00154F84">
        <w:rPr>
          <w:rStyle w:val="SubtleEmphasis"/>
          <w:i w:val="0"/>
          <w:iCs w:val="0"/>
          <w:color w:val="auto"/>
          <w:szCs w:val="24"/>
        </w:rPr>
        <w:t xml:space="preserve"> Homeless Flag is only applicable to those who meet </w:t>
      </w:r>
      <w:r w:rsidR="00901EA1">
        <w:rPr>
          <w:rStyle w:val="SubtleEmphasis"/>
          <w:i w:val="0"/>
          <w:iCs w:val="0"/>
          <w:color w:val="auto"/>
          <w:szCs w:val="24"/>
        </w:rPr>
        <w:t xml:space="preserve">its </w:t>
      </w:r>
      <w:r>
        <w:rPr>
          <w:rStyle w:val="SubtleEmphasis"/>
          <w:i w:val="0"/>
          <w:iCs w:val="0"/>
          <w:color w:val="auto"/>
          <w:szCs w:val="24"/>
        </w:rPr>
        <w:t>definition of homelessness, and not for those who are at risk of homelessness</w:t>
      </w:r>
    </w:p>
    <w:p w14:paraId="77D09AEC" w14:textId="575A6216" w:rsidR="00C8539D" w:rsidRPr="00605AE3" w:rsidRDefault="00F70724" w:rsidP="0055633C">
      <w:pPr>
        <w:pStyle w:val="ListParagraph"/>
        <w:numPr>
          <w:ilvl w:val="0"/>
          <w:numId w:val="34"/>
        </w:numPr>
        <w:spacing w:line="240" w:lineRule="auto"/>
        <w:rPr>
          <w:rStyle w:val="Hyperlink"/>
          <w:color w:val="auto"/>
          <w:szCs w:val="24"/>
          <w:u w:val="none"/>
        </w:rPr>
      </w:pPr>
      <w:r w:rsidRPr="0060362D">
        <w:rPr>
          <w:rStyle w:val="SubtleEmphasis"/>
          <w:szCs w:val="24"/>
        </w:rPr>
        <w:t xml:space="preserve">Source: </w:t>
      </w:r>
      <w:hyperlink r:id="rId12" w:history="1">
        <w:r w:rsidR="00264129" w:rsidRPr="0083331F">
          <w:rPr>
            <w:rStyle w:val="Hyperlink"/>
            <w:szCs w:val="24"/>
          </w:rPr>
          <w:t>https://secure.ssa.gov/poms.nsf/lnx/0411005004</w:t>
        </w:r>
      </w:hyperlink>
    </w:p>
    <w:p w14:paraId="22867BF0" w14:textId="77777777" w:rsidR="00605AE3" w:rsidRDefault="00605AE3" w:rsidP="00605AE3">
      <w:pPr>
        <w:spacing w:line="240" w:lineRule="auto"/>
        <w:rPr>
          <w:szCs w:val="24"/>
        </w:rPr>
      </w:pPr>
    </w:p>
    <w:p w14:paraId="75BFD286" w14:textId="51ED9BED" w:rsidR="008D3D30" w:rsidRPr="00F70724" w:rsidRDefault="00772809" w:rsidP="008D3D30">
      <w:pPr>
        <w:spacing w:after="240" w:line="240" w:lineRule="auto"/>
        <w:rPr>
          <w:rStyle w:val="Strong"/>
          <w:b w:val="0"/>
        </w:rPr>
      </w:pPr>
      <w:r w:rsidRPr="00772809">
        <w:rPr>
          <w:rStyle w:val="Strong"/>
        </w:rPr>
        <w:t>NOTE</w:t>
      </w:r>
      <w:r>
        <w:rPr>
          <w:rStyle w:val="Strong"/>
          <w:b w:val="0"/>
        </w:rPr>
        <w:t xml:space="preserve">: </w:t>
      </w:r>
      <w:r w:rsidR="008D3D30" w:rsidRPr="00F70724">
        <w:rPr>
          <w:rStyle w:val="Strong"/>
          <w:b w:val="0"/>
        </w:rPr>
        <w:t xml:space="preserve">Not all SOAR cases will be given the </w:t>
      </w:r>
      <w:r w:rsidR="00870629">
        <w:rPr>
          <w:rStyle w:val="Strong"/>
          <w:b w:val="0"/>
        </w:rPr>
        <w:t xml:space="preserve">SSA </w:t>
      </w:r>
      <w:r w:rsidR="008D3D30" w:rsidRPr="00F70724">
        <w:rPr>
          <w:rStyle w:val="Strong"/>
          <w:b w:val="0"/>
        </w:rPr>
        <w:t xml:space="preserve">electronic homeless flag, but applications that meet the SOAR definition of homelessness or </w:t>
      </w:r>
      <w:r w:rsidR="008D3D30">
        <w:rPr>
          <w:rStyle w:val="Strong"/>
          <w:b w:val="0"/>
        </w:rPr>
        <w:t>at</w:t>
      </w:r>
      <w:r w:rsidR="008D3D30" w:rsidRPr="00F70724">
        <w:rPr>
          <w:rStyle w:val="Strong"/>
          <w:b w:val="0"/>
        </w:rPr>
        <w:t xml:space="preserve"> risk </w:t>
      </w:r>
      <w:r w:rsidR="008D3D30">
        <w:rPr>
          <w:rStyle w:val="Strong"/>
          <w:b w:val="0"/>
        </w:rPr>
        <w:t>of</w:t>
      </w:r>
      <w:r w:rsidR="008D3D30" w:rsidRPr="00F70724">
        <w:rPr>
          <w:rStyle w:val="Strong"/>
          <w:b w:val="0"/>
        </w:rPr>
        <w:t xml:space="preserve"> homelessness above can be marked as SOAR in the “Remarks” section of the electronic application.</w:t>
      </w:r>
    </w:p>
    <w:p w14:paraId="288B2D79" w14:textId="3E8E813E" w:rsidR="00605AE3" w:rsidRPr="00605AE3" w:rsidRDefault="00605AE3" w:rsidP="00605AE3">
      <w:pPr>
        <w:spacing w:line="240" w:lineRule="auto"/>
        <w:rPr>
          <w:szCs w:val="24"/>
        </w:rPr>
      </w:pPr>
    </w:p>
    <w:sectPr w:rsidR="00605AE3" w:rsidRPr="00605AE3" w:rsidSect="00CD5624">
      <w:headerReference w:type="default" r:id="rId13"/>
      <w:footerReference w:type="default" r:id="rId14"/>
      <w:type w:val="continuous"/>
      <w:pgSz w:w="12240" w:h="15840"/>
      <w:pgMar w:top="720" w:right="1008" w:bottom="990" w:left="1008" w:header="576" w:footer="432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768B" w14:textId="77777777" w:rsidR="00586FFC" w:rsidRDefault="00586FFC" w:rsidP="0015209C">
      <w:r>
        <w:separator/>
      </w:r>
    </w:p>
  </w:endnote>
  <w:endnote w:type="continuationSeparator" w:id="0">
    <w:p w14:paraId="41232A6F" w14:textId="77777777" w:rsidR="00586FFC" w:rsidRDefault="00586FFC" w:rsidP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F3FA" w14:textId="6D5FDE6A" w:rsidR="00781B83" w:rsidRPr="003F25CA" w:rsidRDefault="003F25CA" w:rsidP="002A78A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 xml:space="preserve">SSI/SSDI Outreach, Access and Recovery </w:t>
    </w:r>
    <w:r w:rsidR="00656034">
      <w:rPr>
        <w:noProof/>
      </w:rPr>
      <w:t>(SOAR) Technical Assistance Center</w:t>
    </w:r>
    <w:r w:rsidR="00181F3D">
      <w:rPr>
        <w:noProof/>
      </w:rPr>
      <w:tab/>
    </w:r>
    <w:r w:rsidR="00167620">
      <w:rPr>
        <w:noProof/>
      </w:rPr>
      <w:t>January 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74399" w14:textId="77777777" w:rsidR="00586FFC" w:rsidRDefault="00586FFC" w:rsidP="0015209C">
      <w:r>
        <w:separator/>
      </w:r>
    </w:p>
  </w:footnote>
  <w:footnote w:type="continuationSeparator" w:id="0">
    <w:p w14:paraId="7CD3F689" w14:textId="77777777" w:rsidR="00586FFC" w:rsidRDefault="00586FFC" w:rsidP="0015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64C3" w14:textId="2EEF9327" w:rsidR="00A552BA" w:rsidRDefault="00EC0611" w:rsidP="0015209C">
    <w:pPr>
      <w:tabs>
        <w:tab w:val="right" w:pos="9990"/>
      </w:tabs>
    </w:pPr>
    <w:r w:rsidRPr="00C8539D">
      <w:rPr>
        <w:noProof/>
      </w:rPr>
      <w:drawing>
        <wp:anchor distT="0" distB="0" distL="114300" distR="114300" simplePos="0" relativeHeight="251658240" behindDoc="1" locked="0" layoutInCell="1" allowOverlap="1" wp14:anchorId="0A7135F2" wp14:editId="342F42BB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4" name="Picture 14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5661C">
      <w:rPr>
        <w:noProof/>
      </w:rPr>
      <w:drawing>
        <wp:inline distT="0" distB="0" distL="0" distR="0" wp14:anchorId="19A9B951" wp14:editId="1F370CA7">
          <wp:extent cx="1247775" cy="419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27D55F" w14:textId="77777777" w:rsidR="00EE7C22" w:rsidRDefault="00EE7C22" w:rsidP="0015209C">
    <w:pPr>
      <w:tabs>
        <w:tab w:val="right" w:pos="9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DC6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6E85"/>
    <w:multiLevelType w:val="hybridMultilevel"/>
    <w:tmpl w:val="747427A4"/>
    <w:lvl w:ilvl="0" w:tplc="97BC98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A54"/>
    <w:multiLevelType w:val="hybridMultilevel"/>
    <w:tmpl w:val="061A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3475"/>
    <w:multiLevelType w:val="hybridMultilevel"/>
    <w:tmpl w:val="0C824CC4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4A67"/>
    <w:multiLevelType w:val="hybridMultilevel"/>
    <w:tmpl w:val="30B85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2495"/>
    <w:multiLevelType w:val="hybridMultilevel"/>
    <w:tmpl w:val="4F8E8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96B82"/>
    <w:multiLevelType w:val="hybridMultilevel"/>
    <w:tmpl w:val="53AA353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87FDF"/>
    <w:multiLevelType w:val="hybridMultilevel"/>
    <w:tmpl w:val="59C0A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4335A"/>
    <w:multiLevelType w:val="hybridMultilevel"/>
    <w:tmpl w:val="3C6A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7034A"/>
    <w:multiLevelType w:val="hybridMultilevel"/>
    <w:tmpl w:val="BCBAA954"/>
    <w:lvl w:ilvl="0" w:tplc="A01861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86F35"/>
    <w:multiLevelType w:val="hybridMultilevel"/>
    <w:tmpl w:val="9E3839F4"/>
    <w:lvl w:ilvl="0" w:tplc="C3342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FE1828"/>
    <w:multiLevelType w:val="hybridMultilevel"/>
    <w:tmpl w:val="F7F2B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E3E02"/>
    <w:multiLevelType w:val="hybridMultilevel"/>
    <w:tmpl w:val="321EF08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5641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47CF8"/>
    <w:multiLevelType w:val="hybridMultilevel"/>
    <w:tmpl w:val="15329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524D07E3"/>
    <w:multiLevelType w:val="hybridMultilevel"/>
    <w:tmpl w:val="E6D2C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F67BF"/>
    <w:multiLevelType w:val="hybridMultilevel"/>
    <w:tmpl w:val="A496B596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FD2817"/>
    <w:multiLevelType w:val="hybridMultilevel"/>
    <w:tmpl w:val="6EF41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33207"/>
    <w:multiLevelType w:val="hybridMultilevel"/>
    <w:tmpl w:val="DFBA8D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4D6EE9"/>
    <w:multiLevelType w:val="hybridMultilevel"/>
    <w:tmpl w:val="EF2E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A67BC"/>
    <w:multiLevelType w:val="hybridMultilevel"/>
    <w:tmpl w:val="BE80B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622FBA"/>
    <w:multiLevelType w:val="hybridMultilevel"/>
    <w:tmpl w:val="5A18DCB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87609"/>
    <w:multiLevelType w:val="hybridMultilevel"/>
    <w:tmpl w:val="21B8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2431"/>
    <w:multiLevelType w:val="hybridMultilevel"/>
    <w:tmpl w:val="28D83A52"/>
    <w:lvl w:ilvl="0" w:tplc="E6F019FE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411904"/>
    <w:multiLevelType w:val="hybridMultilevel"/>
    <w:tmpl w:val="E3DE5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947BF"/>
    <w:multiLevelType w:val="hybridMultilevel"/>
    <w:tmpl w:val="EA125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250509"/>
    <w:multiLevelType w:val="hybridMultilevel"/>
    <w:tmpl w:val="BB4026C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2668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5C701F"/>
    <w:multiLevelType w:val="hybridMultilevel"/>
    <w:tmpl w:val="5B287272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25"/>
  </w:num>
  <w:num w:numId="5">
    <w:abstractNumId w:val="13"/>
  </w:num>
  <w:num w:numId="6">
    <w:abstractNumId w:val="17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6"/>
  </w:num>
  <w:num w:numId="12">
    <w:abstractNumId w:val="7"/>
  </w:num>
  <w:num w:numId="13">
    <w:abstractNumId w:val="23"/>
  </w:num>
  <w:num w:numId="14">
    <w:abstractNumId w:val="10"/>
  </w:num>
  <w:num w:numId="15">
    <w:abstractNumId w:val="24"/>
  </w:num>
  <w:num w:numId="16">
    <w:abstractNumId w:val="19"/>
  </w:num>
  <w:num w:numId="17">
    <w:abstractNumId w:val="4"/>
  </w:num>
  <w:num w:numId="18">
    <w:abstractNumId w:val="21"/>
  </w:num>
  <w:num w:numId="19">
    <w:abstractNumId w:val="2"/>
  </w:num>
  <w:num w:numId="20">
    <w:abstractNumId w:val="26"/>
  </w:num>
  <w:num w:numId="21">
    <w:abstractNumId w:val="3"/>
  </w:num>
  <w:num w:numId="22">
    <w:abstractNumId w:val="15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"/>
  </w:num>
  <w:num w:numId="34">
    <w:abstractNumId w:val="11"/>
  </w:num>
  <w:num w:numId="35">
    <w:abstractNumId w:val="1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78"/>
    <w:rsid w:val="00040825"/>
    <w:rsid w:val="00064AEA"/>
    <w:rsid w:val="000772F5"/>
    <w:rsid w:val="00083D95"/>
    <w:rsid w:val="000913C5"/>
    <w:rsid w:val="000A3FAE"/>
    <w:rsid w:val="000E1570"/>
    <w:rsid w:val="000E277C"/>
    <w:rsid w:val="000F46E4"/>
    <w:rsid w:val="00130AEC"/>
    <w:rsid w:val="0015209C"/>
    <w:rsid w:val="00154F84"/>
    <w:rsid w:val="00167620"/>
    <w:rsid w:val="00171A38"/>
    <w:rsid w:val="00181F3D"/>
    <w:rsid w:val="00195EFB"/>
    <w:rsid w:val="001A532A"/>
    <w:rsid w:val="001B411A"/>
    <w:rsid w:val="001B5612"/>
    <w:rsid w:val="001C4FBD"/>
    <w:rsid w:val="001D2F4D"/>
    <w:rsid w:val="0020277B"/>
    <w:rsid w:val="00210562"/>
    <w:rsid w:val="002208D7"/>
    <w:rsid w:val="00250397"/>
    <w:rsid w:val="00264129"/>
    <w:rsid w:val="002660CB"/>
    <w:rsid w:val="00271F13"/>
    <w:rsid w:val="00274C12"/>
    <w:rsid w:val="00281657"/>
    <w:rsid w:val="002954D6"/>
    <w:rsid w:val="00296C7D"/>
    <w:rsid w:val="002A76AA"/>
    <w:rsid w:val="002A78A9"/>
    <w:rsid w:val="002B383D"/>
    <w:rsid w:val="002C7DEB"/>
    <w:rsid w:val="002D0D4F"/>
    <w:rsid w:val="002D346C"/>
    <w:rsid w:val="002E016D"/>
    <w:rsid w:val="002E0B56"/>
    <w:rsid w:val="002E72F2"/>
    <w:rsid w:val="0035212E"/>
    <w:rsid w:val="00352239"/>
    <w:rsid w:val="0037427E"/>
    <w:rsid w:val="00383E8E"/>
    <w:rsid w:val="00385B4C"/>
    <w:rsid w:val="00394B84"/>
    <w:rsid w:val="00394E45"/>
    <w:rsid w:val="003A1191"/>
    <w:rsid w:val="003D16AC"/>
    <w:rsid w:val="003F25CA"/>
    <w:rsid w:val="00414278"/>
    <w:rsid w:val="004145F1"/>
    <w:rsid w:val="004179E4"/>
    <w:rsid w:val="004215B9"/>
    <w:rsid w:val="00427B0B"/>
    <w:rsid w:val="00431748"/>
    <w:rsid w:val="00445485"/>
    <w:rsid w:val="00452734"/>
    <w:rsid w:val="00453F67"/>
    <w:rsid w:val="0045661C"/>
    <w:rsid w:val="00461B5D"/>
    <w:rsid w:val="00466D46"/>
    <w:rsid w:val="00481875"/>
    <w:rsid w:val="00482164"/>
    <w:rsid w:val="004842C3"/>
    <w:rsid w:val="004A3066"/>
    <w:rsid w:val="004B3E2A"/>
    <w:rsid w:val="004B51A2"/>
    <w:rsid w:val="004D40D9"/>
    <w:rsid w:val="004E5833"/>
    <w:rsid w:val="004F0655"/>
    <w:rsid w:val="00506061"/>
    <w:rsid w:val="00510276"/>
    <w:rsid w:val="00513431"/>
    <w:rsid w:val="005134C2"/>
    <w:rsid w:val="00513561"/>
    <w:rsid w:val="00517E16"/>
    <w:rsid w:val="00534CEF"/>
    <w:rsid w:val="005418D0"/>
    <w:rsid w:val="005440B1"/>
    <w:rsid w:val="0055185D"/>
    <w:rsid w:val="0055633C"/>
    <w:rsid w:val="0055775B"/>
    <w:rsid w:val="0057265D"/>
    <w:rsid w:val="00586FFC"/>
    <w:rsid w:val="005B4DA0"/>
    <w:rsid w:val="005C05B0"/>
    <w:rsid w:val="005D3A95"/>
    <w:rsid w:val="005E6566"/>
    <w:rsid w:val="0060362D"/>
    <w:rsid w:val="00605371"/>
    <w:rsid w:val="00605AE3"/>
    <w:rsid w:val="00607639"/>
    <w:rsid w:val="006125EA"/>
    <w:rsid w:val="0061536B"/>
    <w:rsid w:val="006217E5"/>
    <w:rsid w:val="0062410D"/>
    <w:rsid w:val="0063720B"/>
    <w:rsid w:val="00642AB4"/>
    <w:rsid w:val="00656034"/>
    <w:rsid w:val="00662208"/>
    <w:rsid w:val="00687969"/>
    <w:rsid w:val="006A3CE0"/>
    <w:rsid w:val="006B31E2"/>
    <w:rsid w:val="006C3D86"/>
    <w:rsid w:val="006C58C9"/>
    <w:rsid w:val="006D3FE6"/>
    <w:rsid w:val="006E5309"/>
    <w:rsid w:val="006F2988"/>
    <w:rsid w:val="007207AD"/>
    <w:rsid w:val="0072526E"/>
    <w:rsid w:val="00736527"/>
    <w:rsid w:val="00744996"/>
    <w:rsid w:val="00752B37"/>
    <w:rsid w:val="00765E2F"/>
    <w:rsid w:val="00770A07"/>
    <w:rsid w:val="00772809"/>
    <w:rsid w:val="00781B83"/>
    <w:rsid w:val="007871D2"/>
    <w:rsid w:val="00791F03"/>
    <w:rsid w:val="00794D02"/>
    <w:rsid w:val="007A678C"/>
    <w:rsid w:val="007D4099"/>
    <w:rsid w:val="007D5466"/>
    <w:rsid w:val="007D64BE"/>
    <w:rsid w:val="008148C8"/>
    <w:rsid w:val="008209B9"/>
    <w:rsid w:val="00821E33"/>
    <w:rsid w:val="00832058"/>
    <w:rsid w:val="008342C3"/>
    <w:rsid w:val="00845EB6"/>
    <w:rsid w:val="00851134"/>
    <w:rsid w:val="00870629"/>
    <w:rsid w:val="0087362C"/>
    <w:rsid w:val="00873666"/>
    <w:rsid w:val="008755CD"/>
    <w:rsid w:val="008806B5"/>
    <w:rsid w:val="00882B1C"/>
    <w:rsid w:val="008A17E7"/>
    <w:rsid w:val="008A5136"/>
    <w:rsid w:val="008B3B25"/>
    <w:rsid w:val="008D3917"/>
    <w:rsid w:val="008D3D30"/>
    <w:rsid w:val="00901EA1"/>
    <w:rsid w:val="0092025E"/>
    <w:rsid w:val="00932B6D"/>
    <w:rsid w:val="00946956"/>
    <w:rsid w:val="009614ED"/>
    <w:rsid w:val="00963937"/>
    <w:rsid w:val="00965395"/>
    <w:rsid w:val="00974A05"/>
    <w:rsid w:val="00974FD6"/>
    <w:rsid w:val="009806D2"/>
    <w:rsid w:val="0099582B"/>
    <w:rsid w:val="009B4167"/>
    <w:rsid w:val="009B791E"/>
    <w:rsid w:val="009D199D"/>
    <w:rsid w:val="009E3764"/>
    <w:rsid w:val="009F00DC"/>
    <w:rsid w:val="009F3505"/>
    <w:rsid w:val="009F675A"/>
    <w:rsid w:val="00A02E08"/>
    <w:rsid w:val="00A0706D"/>
    <w:rsid w:val="00A148C3"/>
    <w:rsid w:val="00A21484"/>
    <w:rsid w:val="00A552BA"/>
    <w:rsid w:val="00A66FB0"/>
    <w:rsid w:val="00A829FC"/>
    <w:rsid w:val="00AB7560"/>
    <w:rsid w:val="00AD6847"/>
    <w:rsid w:val="00AE73BE"/>
    <w:rsid w:val="00B14C76"/>
    <w:rsid w:val="00B23CEE"/>
    <w:rsid w:val="00B309CA"/>
    <w:rsid w:val="00B41660"/>
    <w:rsid w:val="00B44F79"/>
    <w:rsid w:val="00B46DA6"/>
    <w:rsid w:val="00B665FB"/>
    <w:rsid w:val="00B755AA"/>
    <w:rsid w:val="00B8344C"/>
    <w:rsid w:val="00B84C26"/>
    <w:rsid w:val="00B90B0B"/>
    <w:rsid w:val="00B941A9"/>
    <w:rsid w:val="00BA7410"/>
    <w:rsid w:val="00BC7190"/>
    <w:rsid w:val="00BD0198"/>
    <w:rsid w:val="00BD656F"/>
    <w:rsid w:val="00BE1137"/>
    <w:rsid w:val="00C00D42"/>
    <w:rsid w:val="00C35CA7"/>
    <w:rsid w:val="00C409B9"/>
    <w:rsid w:val="00C4155D"/>
    <w:rsid w:val="00C8539D"/>
    <w:rsid w:val="00C94592"/>
    <w:rsid w:val="00CB0E42"/>
    <w:rsid w:val="00CB433F"/>
    <w:rsid w:val="00CB5D20"/>
    <w:rsid w:val="00CD5624"/>
    <w:rsid w:val="00D13F1D"/>
    <w:rsid w:val="00D60323"/>
    <w:rsid w:val="00D67699"/>
    <w:rsid w:val="00D97F0E"/>
    <w:rsid w:val="00DB4A6A"/>
    <w:rsid w:val="00DC57C5"/>
    <w:rsid w:val="00DD4DB5"/>
    <w:rsid w:val="00DD5628"/>
    <w:rsid w:val="00DD5CFA"/>
    <w:rsid w:val="00DE0AC3"/>
    <w:rsid w:val="00DF25D7"/>
    <w:rsid w:val="00DF67A7"/>
    <w:rsid w:val="00E43F6E"/>
    <w:rsid w:val="00E565C6"/>
    <w:rsid w:val="00E62DF3"/>
    <w:rsid w:val="00E92EC6"/>
    <w:rsid w:val="00EA6B5F"/>
    <w:rsid w:val="00EB3A88"/>
    <w:rsid w:val="00EC0611"/>
    <w:rsid w:val="00EC0DB7"/>
    <w:rsid w:val="00EE218F"/>
    <w:rsid w:val="00EE5AA1"/>
    <w:rsid w:val="00EE7C22"/>
    <w:rsid w:val="00F078E8"/>
    <w:rsid w:val="00F15C6F"/>
    <w:rsid w:val="00F22218"/>
    <w:rsid w:val="00F24AB8"/>
    <w:rsid w:val="00F306AB"/>
    <w:rsid w:val="00F33866"/>
    <w:rsid w:val="00F43520"/>
    <w:rsid w:val="00F70724"/>
    <w:rsid w:val="00F76C61"/>
    <w:rsid w:val="00F77F31"/>
    <w:rsid w:val="00F93F2F"/>
    <w:rsid w:val="00FA0987"/>
    <w:rsid w:val="00FA5B3F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C5AD42"/>
  <w15:docId w15:val="{08FD4134-F93A-4CC3-975A-67F6234F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9C"/>
    <w:pPr>
      <w:spacing w:line="276" w:lineRule="auto"/>
    </w:pPr>
    <w:rPr>
      <w:rFonts w:ascii="Calibri" w:eastAsia="Calibri" w:hAnsi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E7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D3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9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9B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179E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0E42"/>
    <w:rPr>
      <w:color w:val="954F7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F00DC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C58C9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74C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309CA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09CA"/>
    <w:rPr>
      <w:rFonts w:ascii="Calibri" w:eastAsia="Calibri" w:hAnsi="Calibri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42AB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09C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09C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0913C5"/>
    <w:rPr>
      <w:b/>
    </w:rPr>
  </w:style>
  <w:style w:type="paragraph" w:styleId="ListParagraph">
    <w:name w:val="List Paragraph"/>
    <w:basedOn w:val="Normal"/>
    <w:uiPriority w:val="34"/>
    <w:qFormat/>
    <w:rsid w:val="0015209C"/>
    <w:pPr>
      <w:numPr>
        <w:numId w:val="23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70724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63720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372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cure.ssa.gov/poms.nsf/lnx/041100500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ssa.gov/apps10/poms.nsf/lnx/050083506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3" ma:contentTypeDescription="Create a new document." ma:contentTypeScope="" ma:versionID="63865e41632aa55439856ce19121a55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ca7f359fd517f7f4eee01498500f4d79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407D-A872-4E7D-8BD0-4B5F10A0616F}"/>
</file>

<file path=customXml/itemProps2.xml><?xml version="1.0" encoding="utf-8"?>
<ds:datastoreItem xmlns:ds="http://schemas.openxmlformats.org/officeDocument/2006/customXml" ds:itemID="{278385AC-3472-4E74-80F3-07FEE6C05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6FB2E-C705-45C8-B660-53D237D4EDEA}">
  <ds:schemaRefs>
    <ds:schemaRef ds:uri="http://purl.org/dc/terms/"/>
    <ds:schemaRef ds:uri="http://schemas.microsoft.com/office/2006/metadata/properties"/>
    <ds:schemaRef ds:uri="7557eede-73b7-462b-a86f-b30f146a99f4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f1983df-aeaf-4222-b053-376ab4ecb4ed"/>
  </ds:schemaRefs>
</ds:datastoreItem>
</file>

<file path=customXml/itemProps4.xml><?xml version="1.0" encoding="utf-8"?>
<ds:datastoreItem xmlns:ds="http://schemas.openxmlformats.org/officeDocument/2006/customXml" ds:itemID="{862B7A73-705D-4735-9751-5BDAD68A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TA Center</vt:lpstr>
    </vt:vector>
  </TitlesOfParts>
  <Company>Policy Research Associates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TA Center</dc:title>
  <dc:subject/>
  <dc:creator>debi</dc:creator>
  <cp:keywords/>
  <cp:lastModifiedBy>Suzy Sodergren</cp:lastModifiedBy>
  <cp:revision>2</cp:revision>
  <cp:lastPrinted>2018-01-15T14:54:00Z</cp:lastPrinted>
  <dcterms:created xsi:type="dcterms:W3CDTF">2021-01-05T21:56:00Z</dcterms:created>
  <dcterms:modified xsi:type="dcterms:W3CDTF">2021-01-05T21:56:00Z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</Properties>
</file>