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B57A" w14:textId="33B4B389" w:rsidR="00E45534" w:rsidRPr="00E45534" w:rsidRDefault="006A4DC8" w:rsidP="00E45534">
      <w:pPr>
        <w:pStyle w:val="Title"/>
      </w:pPr>
      <w:r>
        <w:t>SOAR Collaboration with SSA’s Office of Hearings Operations (OHO)</w:t>
      </w:r>
    </w:p>
    <w:p w14:paraId="4D86ECC0" w14:textId="4F0BF998" w:rsidR="00E45534" w:rsidRDefault="00AF5217" w:rsidP="004602DF">
      <w:pPr>
        <w:pStyle w:val="Subtitle"/>
        <w:spacing w:after="240"/>
        <w:rPr>
          <w:i/>
        </w:rPr>
      </w:pPr>
      <w:r>
        <w:rPr>
          <w:i/>
        </w:rPr>
        <w:t>Suggestions for working with your</w:t>
      </w:r>
      <w:r w:rsidR="006A4DC8">
        <w:rPr>
          <w:i/>
        </w:rPr>
        <w:t xml:space="preserve"> OHO</w:t>
      </w:r>
    </w:p>
    <w:p w14:paraId="4C355D16" w14:textId="77777777" w:rsidR="004602DF" w:rsidRPr="004602DF" w:rsidRDefault="004602DF" w:rsidP="004602DF">
      <w:r w:rsidRPr="00874D2E">
        <w:rPr>
          <w:b/>
          <w:noProof/>
        </w:rPr>
        <mc:AlternateContent>
          <mc:Choice Requires="wps">
            <w:drawing>
              <wp:inline distT="0" distB="0" distL="0" distR="0" wp14:anchorId="14DFA3C6" wp14:editId="0DDB2CA1">
                <wp:extent cx="6706235" cy="1562100"/>
                <wp:effectExtent l="0" t="0" r="1841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562100"/>
                        </a:xfrm>
                        <a:prstGeom prst="rect">
                          <a:avLst/>
                        </a:prstGeom>
                        <a:solidFill>
                          <a:srgbClr val="F2F7FC"/>
                        </a:solidFill>
                        <a:ln>
                          <a:headEnd/>
                          <a:tailEnd/>
                        </a:ln>
                      </wps:spPr>
                      <wps:style>
                        <a:lnRef idx="2">
                          <a:schemeClr val="accent1"/>
                        </a:lnRef>
                        <a:fillRef idx="1">
                          <a:schemeClr val="lt1"/>
                        </a:fillRef>
                        <a:effectRef idx="0">
                          <a:schemeClr val="accent1"/>
                        </a:effectRef>
                        <a:fontRef idx="minor">
                          <a:schemeClr val="dk1"/>
                        </a:fontRef>
                      </wps:style>
                      <wps:txbx>
                        <w:txbxContent>
                          <w:p w14:paraId="4EDD398B" w14:textId="23EE6ADD" w:rsidR="00AF5217" w:rsidRDefault="00AF5217" w:rsidP="00AF5217">
                            <w:r w:rsidRPr="00AF5217">
                              <w:t>The Social Security Administration’s (SSA)</w:t>
                            </w:r>
                            <w:r>
                              <w:t xml:space="preserve"> Office of Hearings Operations (</w:t>
                            </w:r>
                            <w:r w:rsidRPr="00AF5217">
                              <w:t>OHO</w:t>
                            </w:r>
                            <w:r>
                              <w:t>)</w:t>
                            </w:r>
                            <w:r w:rsidRPr="00AF5217">
                              <w:t xml:space="preserve"> directs a nationwide field organization staffed with </w:t>
                            </w:r>
                            <w:r w:rsidR="003D5528">
                              <w:t>A</w:t>
                            </w:r>
                            <w:r w:rsidRPr="00AF5217">
                              <w:t xml:space="preserve">dministrative </w:t>
                            </w:r>
                            <w:r w:rsidR="003D5528">
                              <w:t>L</w:t>
                            </w:r>
                            <w:r w:rsidRPr="00AF5217">
                              <w:t xml:space="preserve">aw </w:t>
                            </w:r>
                            <w:r w:rsidR="003D5528">
                              <w:t>J</w:t>
                            </w:r>
                            <w:r w:rsidRPr="00AF5217">
                              <w:t>udges (ALJ</w:t>
                            </w:r>
                            <w:r w:rsidR="00A254E7">
                              <w:t>s</w:t>
                            </w:r>
                            <w:r w:rsidRPr="00AF5217">
                              <w:t>) who conduct impartial hearings and make decisions on appealed determinations involving Old-Age, Survivors</w:t>
                            </w:r>
                            <w:r w:rsidR="00391DE3">
                              <w:t>,</w:t>
                            </w:r>
                            <w:r w:rsidRPr="00AF5217">
                              <w:t xml:space="preserve"> and Disability Insurance benefits</w:t>
                            </w:r>
                            <w:r w:rsidR="001102F4">
                              <w:t xml:space="preserve"> (Title II, SSDI)</w:t>
                            </w:r>
                            <w:r w:rsidRPr="00AF5217">
                              <w:t xml:space="preserve"> and Supplemental Security Income</w:t>
                            </w:r>
                            <w:r w:rsidR="001102F4">
                              <w:t xml:space="preserve"> (Title XVI, SSI)</w:t>
                            </w:r>
                            <w:r w:rsidRPr="00AF5217">
                              <w:t xml:space="preserve"> payments. </w:t>
                            </w:r>
                            <w:r w:rsidR="00E44AD7" w:rsidRPr="00D20C5A">
                              <w:t>From F</w:t>
                            </w:r>
                            <w:r w:rsidR="00602858">
                              <w:t>iscal Years</w:t>
                            </w:r>
                            <w:r w:rsidR="00E44AD7" w:rsidRPr="00D20C5A">
                              <w:t xml:space="preserve"> 2012 to 2017, national </w:t>
                            </w:r>
                            <w:r w:rsidR="0062783D">
                              <w:t>average processing times</w:t>
                            </w:r>
                            <w:r w:rsidR="00E44AD7" w:rsidRPr="00D20C5A">
                              <w:t xml:space="preserve"> for a hearing increased </w:t>
                            </w:r>
                            <w:r w:rsidR="0062783D">
                              <w:t>71%</w:t>
                            </w:r>
                            <w:r w:rsidR="00E44AD7">
                              <w:t xml:space="preserve"> from 353 to 605 days</w:t>
                            </w:r>
                            <w:r w:rsidR="00E44AD7" w:rsidRPr="00D20C5A">
                              <w:t>.</w:t>
                            </w:r>
                            <w:r w:rsidR="00E44AD7">
                              <w:t xml:space="preserve"> </w:t>
                            </w:r>
                            <w:r w:rsidR="00B93632">
                              <w:t xml:space="preserve">SOAR providers are able to demonstrate to OHO that they are representing </w:t>
                            </w:r>
                            <w:r w:rsidR="00A254E7">
                              <w:t>“</w:t>
                            </w:r>
                            <w:r w:rsidR="00B93632">
                              <w:t>critical</w:t>
                            </w:r>
                            <w:r w:rsidR="00A254E7">
                              <w:t>”</w:t>
                            </w:r>
                            <w:r w:rsidR="00B93632">
                              <w:t xml:space="preserve"> applicants</w:t>
                            </w:r>
                            <w:r w:rsidR="006D7C2A">
                              <w:t>.</w:t>
                            </w:r>
                            <w:r w:rsidR="00B93632">
                              <w:t xml:space="preserve"> </w:t>
                            </w:r>
                            <w:r w:rsidR="005757C4">
                              <w:t xml:space="preserve"> This handout explains how you can promote SOAR with your OHO office to help ease their backlog and workload issues, while at the same time, improving access to expedited decisions for SOAR applicants. </w:t>
                            </w:r>
                          </w:p>
                          <w:p w14:paraId="51ACAD8C" w14:textId="77777777" w:rsidR="007C7F94" w:rsidRDefault="007C7F94" w:rsidP="00AF5217"/>
                        </w:txbxContent>
                      </wps:txbx>
                      <wps:bodyPr rot="0" vert="horz" wrap="square" lIns="91440" tIns="45720" rIns="91440" bIns="45720" anchor="t" anchorCtr="0">
                        <a:noAutofit/>
                      </wps:bodyPr>
                    </wps:wsp>
                  </a:graphicData>
                </a:graphic>
              </wp:inline>
            </w:drawing>
          </mc:Choice>
          <mc:Fallback>
            <w:pict>
              <v:shapetype w14:anchorId="14DFA3C6" id="_x0000_t202" coordsize="21600,21600" o:spt="202" path="m,l,21600r21600,l21600,xe">
                <v:stroke joinstyle="miter"/>
                <v:path gradientshapeok="t" o:connecttype="rect"/>
              </v:shapetype>
              <v:shape id="Text Box 2" o:spid="_x0000_s1026" type="#_x0000_t202" style="width:528.0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vOXAIAAPIEAAAOAAAAZHJzL2Uyb0RvYy54bWysVNuO0zAQfUfiHyy/01zoBaKmq6VLEdJy&#10;Ebt8gOvYjbWOJ9jeJuXrGTtpKAsSEuLFsj1zzsyZGXt91TeaHIV1CkxJs1lKiTAcKmUOJf16v3vx&#10;ihLnmamYBiNKehKOXm2eP1t3bSFyqEFXwhIkMa7o2pLW3rdFkjhei4a5GbTCoFGCbZjHoz0klWUd&#10;sjc6ydN0mXRgq9YCF87h7c1gpJvIL6Xg/pOUTniiS4q5+bjauO7DmmzWrDhY1taKj2mwf8iiYcpg&#10;0InqhnlGHq36japR3IID6WccmgSkVFxEDagmS5+ouatZK6IWLI5rpzK5/0fLPx4/W6KqkubZihLD&#10;GmzSveg9eQM9yUN9utYV6HbXoqPv8Rr7HLW69hb4gyMGtjUzB3FtLXS1YBXmlwVkcgEdeFwg2Xcf&#10;oMIw7NFDJOqlbULxsBwE2bFPp6k3IRWOl8tVusxfLijhaMsWyzxLY/cSVpzhrXX+nYCGhE1JLTY/&#10;0rPjrfMhHVacXUI0B1pVO6V1PNjDfqstOTIclF2+W+22UcETN22Cc9D41lRxdjxTetgjfTBH0UHn&#10;qNiftAggbb4IiZVGLflQvjDjYgrKOBfGD3UbvQNMYoITcKz7r0A9gUbfABNx9idg+veIEyJGBeMn&#10;cKMM2D8RVA/ndOXgf1Y/aA7d9/2+H2doD9UJu29heIT4aeCmBvudkg4fYEndt0dmBSX6vcEJep3N&#10;5+HFxsN8scrxYC8t+0sLMxypSuopGbZbH195EGPgGidNqjgDIakhkzFZfFhxNMZPILzcy3P0+vlV&#10;bX4AAAD//wMAUEsDBBQABgAIAAAAIQAORVH33QAAAAYBAAAPAAAAZHJzL2Rvd25yZXYueG1sTI/N&#10;asMwEITvhb6D2EJvjZTQmMaxHEpLoeRQSPpDjoq1sZ1KK2NtEvfto/TSXhaGGWa+LRaDd+KIfWwD&#10;aRiPFAikKtiWag0f7y93DyAiG7LGBUINPxhhUV5fFSa34UQrPK65FqmEYm40NMxdLmWsGvQmjkKH&#10;lLxd6L3hJPta2t6cUrl3cqJUJr1pKS00psOnBqvv9cFrePPhk5bVfjZ7Zut5+fq1cVOv9e3N8DgH&#10;wTjwXxgu+AkdysS0DQeyUTgN6RH+vRdPTbMxiK2GyX2mQJaF/I9fngEAAP//AwBQSwECLQAUAAYA&#10;CAAAACEAtoM4kv4AAADhAQAAEwAAAAAAAAAAAAAAAAAAAAAAW0NvbnRlbnRfVHlwZXNdLnhtbFBL&#10;AQItABQABgAIAAAAIQA4/SH/1gAAAJQBAAALAAAAAAAAAAAAAAAAAC8BAABfcmVscy8ucmVsc1BL&#10;AQItABQABgAIAAAAIQDjz1vOXAIAAPIEAAAOAAAAAAAAAAAAAAAAAC4CAABkcnMvZTJvRG9jLnht&#10;bFBLAQItABQABgAIAAAAIQAORVH33QAAAAYBAAAPAAAAAAAAAAAAAAAAALYEAABkcnMvZG93bnJl&#10;di54bWxQSwUGAAAAAAQABADzAAAAwAUAAAAA&#10;" fillcolor="#f2f7fc" strokecolor="#5b9bd5 [3204]" strokeweight="1pt">
                <v:textbox>
                  <w:txbxContent>
                    <w:p w14:paraId="4EDD398B" w14:textId="23EE6ADD" w:rsidR="00AF5217" w:rsidRDefault="00AF5217" w:rsidP="00AF5217">
                      <w:r w:rsidRPr="00AF5217">
                        <w:t>The Social Security Administration’s (SSA)</w:t>
                      </w:r>
                      <w:r>
                        <w:t xml:space="preserve"> Office of Hearings Operations (</w:t>
                      </w:r>
                      <w:r w:rsidRPr="00AF5217">
                        <w:t>OHO</w:t>
                      </w:r>
                      <w:r>
                        <w:t>)</w:t>
                      </w:r>
                      <w:r w:rsidRPr="00AF5217">
                        <w:t xml:space="preserve"> directs a nationwide field organization staffed with </w:t>
                      </w:r>
                      <w:r w:rsidR="003D5528">
                        <w:t>A</w:t>
                      </w:r>
                      <w:r w:rsidRPr="00AF5217">
                        <w:t xml:space="preserve">dministrative </w:t>
                      </w:r>
                      <w:r w:rsidR="003D5528">
                        <w:t>L</w:t>
                      </w:r>
                      <w:r w:rsidRPr="00AF5217">
                        <w:t xml:space="preserve">aw </w:t>
                      </w:r>
                      <w:r w:rsidR="003D5528">
                        <w:t>J</w:t>
                      </w:r>
                      <w:r w:rsidRPr="00AF5217">
                        <w:t>udges (ALJ</w:t>
                      </w:r>
                      <w:r w:rsidR="00A254E7">
                        <w:t>s</w:t>
                      </w:r>
                      <w:r w:rsidRPr="00AF5217">
                        <w:t>) who conduct impartial hearings and make decisions on appealed determinations involving Old-Age, Survivors</w:t>
                      </w:r>
                      <w:r w:rsidR="00391DE3">
                        <w:t>,</w:t>
                      </w:r>
                      <w:r w:rsidRPr="00AF5217">
                        <w:t xml:space="preserve"> and Disability Insurance benefits</w:t>
                      </w:r>
                      <w:r w:rsidR="001102F4">
                        <w:t xml:space="preserve"> (Title II, SSDI)</w:t>
                      </w:r>
                      <w:r w:rsidRPr="00AF5217">
                        <w:t xml:space="preserve"> and Supplemental Security Income</w:t>
                      </w:r>
                      <w:r w:rsidR="001102F4">
                        <w:t xml:space="preserve"> (Title XVI, SSI)</w:t>
                      </w:r>
                      <w:r w:rsidRPr="00AF5217">
                        <w:t xml:space="preserve"> payments. </w:t>
                      </w:r>
                      <w:r w:rsidR="00E44AD7" w:rsidRPr="00D20C5A">
                        <w:t>From F</w:t>
                      </w:r>
                      <w:r w:rsidR="00602858">
                        <w:t>iscal Years</w:t>
                      </w:r>
                      <w:r w:rsidR="00E44AD7" w:rsidRPr="00D20C5A">
                        <w:t xml:space="preserve"> 2012 to 2017, national </w:t>
                      </w:r>
                      <w:r w:rsidR="0062783D">
                        <w:t>average processing times</w:t>
                      </w:r>
                      <w:r w:rsidR="00E44AD7" w:rsidRPr="00D20C5A">
                        <w:t xml:space="preserve"> for a hearing increased </w:t>
                      </w:r>
                      <w:r w:rsidR="0062783D">
                        <w:t>71%</w:t>
                      </w:r>
                      <w:r w:rsidR="00E44AD7">
                        <w:t xml:space="preserve"> from 353 to 605 days</w:t>
                      </w:r>
                      <w:r w:rsidR="00E44AD7" w:rsidRPr="00D20C5A">
                        <w:t>.</w:t>
                      </w:r>
                      <w:r w:rsidR="00E44AD7">
                        <w:t xml:space="preserve"> </w:t>
                      </w:r>
                      <w:r w:rsidR="00B93632">
                        <w:t xml:space="preserve">SOAR providers are able to demonstrate to OHO that they are representing </w:t>
                      </w:r>
                      <w:r w:rsidR="00A254E7">
                        <w:t>“</w:t>
                      </w:r>
                      <w:r w:rsidR="00B93632">
                        <w:t>critical</w:t>
                      </w:r>
                      <w:r w:rsidR="00A254E7">
                        <w:t>”</w:t>
                      </w:r>
                      <w:r w:rsidR="00B93632">
                        <w:t xml:space="preserve"> applicants</w:t>
                      </w:r>
                      <w:r w:rsidR="006D7C2A">
                        <w:t>.</w:t>
                      </w:r>
                      <w:r w:rsidR="00B93632">
                        <w:t xml:space="preserve"> </w:t>
                      </w:r>
                      <w:r w:rsidR="005757C4">
                        <w:t xml:space="preserve"> This handout explains how you can promote SOAR with your OHO office to help ease their backlog and workload issues, while at the same time, improving access to expedited decisions for SOAR applicants. </w:t>
                      </w:r>
                    </w:p>
                    <w:p w14:paraId="51ACAD8C" w14:textId="77777777" w:rsidR="007C7F94" w:rsidRDefault="007C7F94" w:rsidP="00AF5217"/>
                  </w:txbxContent>
                </v:textbox>
                <w10:anchorlock/>
              </v:shape>
            </w:pict>
          </mc:Fallback>
        </mc:AlternateContent>
      </w:r>
    </w:p>
    <w:p w14:paraId="3640FEF1" w14:textId="1E31A306" w:rsidR="001101C1" w:rsidRDefault="007C7F94" w:rsidP="00EF3AD3">
      <w:pPr>
        <w:pStyle w:val="Heading1"/>
      </w:pPr>
      <w:r>
        <w:t>The Problem</w:t>
      </w:r>
      <w:r w:rsidR="003246B0">
        <w:t xml:space="preserve"> and</w:t>
      </w:r>
      <w:r w:rsidR="00CC544E">
        <w:t xml:space="preserve"> SOAR Solution!</w:t>
      </w:r>
    </w:p>
    <w:p w14:paraId="262615E7" w14:textId="5A0AA662" w:rsidR="00CC544E" w:rsidRPr="00C3080E" w:rsidRDefault="00CE278C" w:rsidP="00CC544E">
      <w:pPr>
        <w:spacing w:after="160" w:line="259" w:lineRule="auto"/>
        <w:rPr>
          <w:rFonts w:cstheme="minorBidi"/>
        </w:rPr>
      </w:pPr>
      <w:r w:rsidRPr="00C3080E">
        <w:rPr>
          <w:rFonts w:cstheme="minorBidi"/>
        </w:rPr>
        <w:t>OHO offices maintain a master docket system that contains all requests for hearings and remanded claims. There are nearly 1 million claims awaiting a hearing date</w:t>
      </w:r>
      <w:r w:rsidR="00CF30D1">
        <w:rPr>
          <w:rStyle w:val="FootnoteReference"/>
          <w:rFonts w:cstheme="minorBidi"/>
        </w:rPr>
        <w:footnoteReference w:id="1"/>
      </w:r>
      <w:r w:rsidRPr="00C3080E">
        <w:rPr>
          <w:rFonts w:cstheme="minorBidi"/>
        </w:rPr>
        <w:t>.</w:t>
      </w:r>
      <w:r w:rsidR="005924CD" w:rsidRPr="00C3080E">
        <w:rPr>
          <w:rFonts w:cstheme="minorBidi"/>
        </w:rPr>
        <w:t xml:space="preserve"> </w:t>
      </w:r>
      <w:r w:rsidR="009903F4" w:rsidRPr="00C3080E">
        <w:rPr>
          <w:rFonts w:cstheme="minorBidi"/>
        </w:rPr>
        <w:t xml:space="preserve">Getting the case ready for the hearing is time consuming for OHO staff. “Pulling” or “work-up” is the process of preparing a disability case file for a hearing. Hearing office staff reviews the electronic folder, identifies the relevant documents, and organizes those documents for the ALJ to consider in making a decision.  </w:t>
      </w:r>
    </w:p>
    <w:p w14:paraId="55EC8CD3" w14:textId="267D2B67" w:rsidR="00CE278C" w:rsidRPr="00C3080E" w:rsidRDefault="005924CD" w:rsidP="00CE278C">
      <w:pPr>
        <w:spacing w:after="160" w:line="259" w:lineRule="auto"/>
        <w:rPr>
          <w:rFonts w:cstheme="minorBidi"/>
        </w:rPr>
      </w:pPr>
      <w:r w:rsidRPr="00C3080E">
        <w:rPr>
          <w:rFonts w:cstheme="minorBidi"/>
        </w:rPr>
        <w:t xml:space="preserve">This high workload has created a </w:t>
      </w:r>
      <w:r w:rsidR="00D02A42" w:rsidRPr="00C3080E">
        <w:rPr>
          <w:rFonts w:cstheme="minorBidi"/>
        </w:rPr>
        <w:t xml:space="preserve">large </w:t>
      </w:r>
      <w:r w:rsidRPr="00C3080E">
        <w:rPr>
          <w:rFonts w:cstheme="minorBidi"/>
        </w:rPr>
        <w:t xml:space="preserve">backlog. We know </w:t>
      </w:r>
      <w:r w:rsidR="00CC544E" w:rsidRPr="00C3080E">
        <w:rPr>
          <w:rFonts w:cstheme="minorBidi"/>
        </w:rPr>
        <w:t>that many</w:t>
      </w:r>
      <w:r w:rsidR="00CE278C" w:rsidRPr="00C3080E">
        <w:rPr>
          <w:rFonts w:cstheme="minorBidi"/>
        </w:rPr>
        <w:t xml:space="preserve"> of these </w:t>
      </w:r>
      <w:r w:rsidRPr="00C3080E">
        <w:rPr>
          <w:rFonts w:cstheme="minorBidi"/>
        </w:rPr>
        <w:t>claims</w:t>
      </w:r>
      <w:r w:rsidR="00CE278C" w:rsidRPr="00C3080E">
        <w:rPr>
          <w:rFonts w:cstheme="minorBidi"/>
        </w:rPr>
        <w:t xml:space="preserve"> are what SSA classifies as “critical</w:t>
      </w:r>
      <w:r w:rsidR="003D2B71" w:rsidRPr="00C3080E">
        <w:rPr>
          <w:rFonts w:cstheme="minorBidi"/>
        </w:rPr>
        <w:t>.</w:t>
      </w:r>
      <w:r w:rsidR="00CE278C" w:rsidRPr="00C3080E">
        <w:rPr>
          <w:rFonts w:cstheme="minorBidi"/>
        </w:rPr>
        <w:t xml:space="preserve">” </w:t>
      </w:r>
      <w:r w:rsidR="00CE278C" w:rsidRPr="003D2B71">
        <w:t xml:space="preserve"> OHO defines a case as “critical” in the following situations:</w:t>
      </w:r>
    </w:p>
    <w:p w14:paraId="6EE369FE" w14:textId="2D9FCAA5" w:rsidR="00CE278C" w:rsidRPr="003D2B71" w:rsidRDefault="00CE278C" w:rsidP="00D02A42">
      <w:pPr>
        <w:pStyle w:val="ListParagraph"/>
        <w:numPr>
          <w:ilvl w:val="0"/>
          <w:numId w:val="25"/>
        </w:numPr>
      </w:pPr>
      <w:r w:rsidRPr="003D2B71">
        <w:t xml:space="preserve">Terminal illness; </w:t>
      </w:r>
    </w:p>
    <w:p w14:paraId="25663255" w14:textId="59A746E1" w:rsidR="00CE278C" w:rsidRPr="001C127B" w:rsidRDefault="00CE278C" w:rsidP="00D02A42">
      <w:pPr>
        <w:pStyle w:val="ListParagraph"/>
        <w:numPr>
          <w:ilvl w:val="0"/>
          <w:numId w:val="25"/>
        </w:numPr>
      </w:pPr>
      <w:r w:rsidRPr="007A7964">
        <w:t xml:space="preserve">Veterans with permanent and total disability rating from the Department of Veterans Affairs; </w:t>
      </w:r>
    </w:p>
    <w:p w14:paraId="5CA5A07F" w14:textId="0157104A" w:rsidR="00CE278C" w:rsidRPr="001749D1" w:rsidRDefault="00CE278C" w:rsidP="00D02A42">
      <w:pPr>
        <w:pStyle w:val="ListParagraph"/>
        <w:numPr>
          <w:ilvl w:val="0"/>
          <w:numId w:val="25"/>
        </w:numPr>
      </w:pPr>
      <w:r w:rsidRPr="001749D1">
        <w:t xml:space="preserve">Military casualty/wounded warrior case; </w:t>
      </w:r>
    </w:p>
    <w:p w14:paraId="590B1C20" w14:textId="705CA18C" w:rsidR="00CE278C" w:rsidRPr="00546207" w:rsidRDefault="00CE278C" w:rsidP="00D02A42">
      <w:pPr>
        <w:pStyle w:val="ListParagraph"/>
        <w:numPr>
          <w:ilvl w:val="0"/>
          <w:numId w:val="25"/>
        </w:numPr>
      </w:pPr>
      <w:r w:rsidRPr="00CC4AF1">
        <w:t xml:space="preserve">Compassionate Allowances </w:t>
      </w:r>
    </w:p>
    <w:p w14:paraId="1A42D85C" w14:textId="4095B9B2" w:rsidR="00CE278C" w:rsidRPr="005E78B6" w:rsidRDefault="00CE278C" w:rsidP="00D02A42">
      <w:pPr>
        <w:pStyle w:val="ListParagraph"/>
        <w:numPr>
          <w:ilvl w:val="0"/>
          <w:numId w:val="25"/>
        </w:numPr>
      </w:pPr>
      <w:r w:rsidRPr="005E78B6">
        <w:t>Dire need case; and</w:t>
      </w:r>
    </w:p>
    <w:p w14:paraId="11730802" w14:textId="736EC421" w:rsidR="00CE278C" w:rsidRPr="004D7424" w:rsidRDefault="00CE278C" w:rsidP="00D02A42">
      <w:pPr>
        <w:pStyle w:val="ListParagraph"/>
        <w:numPr>
          <w:ilvl w:val="0"/>
          <w:numId w:val="25"/>
        </w:numPr>
      </w:pPr>
      <w:r w:rsidRPr="005E78B6">
        <w:t>Potentially violent</w:t>
      </w:r>
      <w:r w:rsidR="00A346BA">
        <w:rPr>
          <w:rStyle w:val="FootnoteReference"/>
        </w:rPr>
        <w:footnoteReference w:id="2"/>
      </w:r>
      <w:r w:rsidRPr="005E78B6">
        <w:t xml:space="preserve"> </w:t>
      </w:r>
    </w:p>
    <w:p w14:paraId="0506EC41" w14:textId="77777777" w:rsidR="00CE278C" w:rsidRPr="009D31A2" w:rsidRDefault="00CE278C" w:rsidP="00CE278C">
      <w:pPr>
        <w:rPr>
          <w:sz w:val="22"/>
          <w:szCs w:val="22"/>
        </w:rPr>
      </w:pPr>
    </w:p>
    <w:p w14:paraId="2ADC3C00" w14:textId="24E2FCA3" w:rsidR="00CE278C" w:rsidRPr="00C3080E" w:rsidRDefault="00CE278C" w:rsidP="00CE278C">
      <w:pPr>
        <w:spacing w:after="160" w:line="259" w:lineRule="auto"/>
        <w:rPr>
          <w:rFonts w:cstheme="minorBidi"/>
        </w:rPr>
      </w:pPr>
      <w:r w:rsidRPr="00C3080E">
        <w:rPr>
          <w:rFonts w:cstheme="minorBidi"/>
        </w:rPr>
        <w:t>SOAR applicants, by definition</w:t>
      </w:r>
      <w:r w:rsidR="003E5C1E" w:rsidRPr="00C3080E">
        <w:rPr>
          <w:rFonts w:cstheme="minorBidi"/>
        </w:rPr>
        <w:t>,</w:t>
      </w:r>
      <w:r w:rsidRPr="00C3080E">
        <w:rPr>
          <w:rFonts w:cstheme="minorBidi"/>
        </w:rPr>
        <w:t xml:space="preserve"> are </w:t>
      </w:r>
      <w:r w:rsidR="003D2B71" w:rsidRPr="00C3080E">
        <w:rPr>
          <w:rFonts w:cstheme="minorBidi"/>
        </w:rPr>
        <w:t>“</w:t>
      </w:r>
      <w:r w:rsidRPr="00C3080E">
        <w:rPr>
          <w:rFonts w:cstheme="minorBidi"/>
        </w:rPr>
        <w:t>critical</w:t>
      </w:r>
      <w:r w:rsidR="003D2B71" w:rsidRPr="00C3080E">
        <w:rPr>
          <w:rFonts w:cstheme="minorBidi"/>
        </w:rPr>
        <w:t>”</w:t>
      </w:r>
      <w:r w:rsidRPr="00C3080E">
        <w:rPr>
          <w:rFonts w:cstheme="minorBidi"/>
        </w:rPr>
        <w:t xml:space="preserve"> cases because they meet</w:t>
      </w:r>
      <w:r w:rsidR="005924CD" w:rsidRPr="00C3080E">
        <w:rPr>
          <w:rFonts w:cstheme="minorBidi"/>
        </w:rPr>
        <w:t>, at</w:t>
      </w:r>
      <w:r w:rsidR="003246B0" w:rsidRPr="00C3080E">
        <w:rPr>
          <w:rFonts w:cstheme="minorBidi"/>
        </w:rPr>
        <w:t xml:space="preserve"> minimum</w:t>
      </w:r>
      <w:r w:rsidR="005924CD" w:rsidRPr="00C3080E">
        <w:rPr>
          <w:rFonts w:cstheme="minorBidi"/>
        </w:rPr>
        <w:t xml:space="preserve">, </w:t>
      </w:r>
      <w:r w:rsidR="003246B0" w:rsidRPr="00C3080E">
        <w:rPr>
          <w:rFonts w:cstheme="minorBidi"/>
        </w:rPr>
        <w:t xml:space="preserve">the </w:t>
      </w:r>
      <w:r w:rsidR="003D2B71" w:rsidRPr="00C3080E">
        <w:t>“</w:t>
      </w:r>
      <w:r w:rsidR="003D2B71" w:rsidRPr="009D31A2">
        <w:rPr>
          <w:rFonts w:cstheme="minorBidi"/>
        </w:rPr>
        <w:t>dire need</w:t>
      </w:r>
      <w:r w:rsidR="003D2B71" w:rsidRPr="00165798">
        <w:rPr>
          <w:rStyle w:val="Hyperlink"/>
          <w:rFonts w:cstheme="minorBidi"/>
          <w:u w:val="none"/>
        </w:rPr>
        <w:t xml:space="preserve">” </w:t>
      </w:r>
      <w:r w:rsidR="009D31A2">
        <w:rPr>
          <w:rStyle w:val="Hyperlink"/>
          <w:rFonts w:cstheme="minorBidi"/>
          <w:u w:val="none"/>
        </w:rPr>
        <w:t>(</w:t>
      </w:r>
      <w:hyperlink r:id="rId11" w:history="1">
        <w:r w:rsidR="009D31A2" w:rsidRPr="002C196C">
          <w:rPr>
            <w:rStyle w:val="Hyperlink"/>
            <w:rFonts w:cstheme="minorBidi"/>
          </w:rPr>
          <w:t>https://www.ssa.gov/OP_Home/hallex/I-02/I-2-1-40.html</w:t>
        </w:r>
      </w:hyperlink>
      <w:r w:rsidR="009D31A2">
        <w:rPr>
          <w:rStyle w:val="Hyperlink"/>
          <w:rFonts w:cstheme="minorBidi"/>
          <w:u w:val="none"/>
        </w:rPr>
        <w:t xml:space="preserve">) </w:t>
      </w:r>
      <w:r w:rsidR="00D02A42" w:rsidRPr="00C3080E">
        <w:rPr>
          <w:rFonts w:cstheme="minorBidi"/>
        </w:rPr>
        <w:t>designation</w:t>
      </w:r>
      <w:r w:rsidRPr="00C3080E">
        <w:rPr>
          <w:rFonts w:cstheme="minorBidi"/>
        </w:rPr>
        <w:t xml:space="preserve">. </w:t>
      </w:r>
      <w:r w:rsidR="005924CD" w:rsidRPr="00C3080E">
        <w:rPr>
          <w:rFonts w:cstheme="minorBidi"/>
        </w:rPr>
        <w:t>Therefore, SOAR providers can</w:t>
      </w:r>
      <w:r w:rsidR="00F75599" w:rsidRPr="00C3080E">
        <w:rPr>
          <w:rFonts w:cstheme="minorBidi"/>
        </w:rPr>
        <w:t xml:space="preserve"> assist OHO offices with</w:t>
      </w:r>
      <w:r w:rsidR="00D02A42" w:rsidRPr="00C3080E">
        <w:rPr>
          <w:rFonts w:cstheme="minorBidi"/>
        </w:rPr>
        <w:t xml:space="preserve"> the special processing</w:t>
      </w:r>
      <w:r w:rsidR="00F75599" w:rsidRPr="00C3080E">
        <w:rPr>
          <w:rFonts w:cstheme="minorBidi"/>
        </w:rPr>
        <w:t xml:space="preserve"> </w:t>
      </w:r>
      <w:r w:rsidR="003E5C1E" w:rsidRPr="00C3080E">
        <w:rPr>
          <w:rFonts w:cstheme="minorBidi"/>
        </w:rPr>
        <w:t xml:space="preserve">of </w:t>
      </w:r>
      <w:r w:rsidR="00F75599" w:rsidRPr="00C3080E">
        <w:rPr>
          <w:rFonts w:cstheme="minorBidi"/>
        </w:rPr>
        <w:t xml:space="preserve">these </w:t>
      </w:r>
      <w:r w:rsidR="00CC544E" w:rsidRPr="00C3080E">
        <w:rPr>
          <w:rFonts w:cstheme="minorBidi"/>
        </w:rPr>
        <w:t xml:space="preserve">critical </w:t>
      </w:r>
      <w:r w:rsidR="00F75599" w:rsidRPr="00C3080E">
        <w:rPr>
          <w:rFonts w:cstheme="minorBidi"/>
        </w:rPr>
        <w:t>cases</w:t>
      </w:r>
      <w:r w:rsidR="003E5C1E" w:rsidRPr="00C3080E">
        <w:rPr>
          <w:rFonts w:cstheme="minorBidi"/>
        </w:rPr>
        <w:t>, and in return, improve</w:t>
      </w:r>
      <w:r w:rsidR="003246B0" w:rsidRPr="00C3080E">
        <w:rPr>
          <w:rFonts w:cstheme="minorBidi"/>
        </w:rPr>
        <w:t xml:space="preserve"> OHO’</w:t>
      </w:r>
      <w:r w:rsidR="00D02A42" w:rsidRPr="00C3080E">
        <w:rPr>
          <w:rFonts w:cstheme="minorBidi"/>
        </w:rPr>
        <w:t>s</w:t>
      </w:r>
      <w:r w:rsidR="003246B0" w:rsidRPr="00C3080E">
        <w:rPr>
          <w:rFonts w:cstheme="minorBidi"/>
        </w:rPr>
        <w:t xml:space="preserve"> average processing times and easing workload burdens</w:t>
      </w:r>
      <w:r w:rsidR="00CC544E" w:rsidRPr="00C3080E">
        <w:rPr>
          <w:rFonts w:cstheme="minorBidi"/>
        </w:rPr>
        <w:t xml:space="preserve">. </w:t>
      </w:r>
      <w:r w:rsidR="00F75599" w:rsidRPr="00C3080E">
        <w:rPr>
          <w:rFonts w:cstheme="minorBidi"/>
        </w:rPr>
        <w:t xml:space="preserve"> </w:t>
      </w:r>
    </w:p>
    <w:p w14:paraId="78F8A78E" w14:textId="2E04CE74" w:rsidR="00CC544E" w:rsidRPr="00E44AD7" w:rsidRDefault="003246B0" w:rsidP="00CC544E">
      <w:pPr>
        <w:pStyle w:val="Heading1"/>
      </w:pPr>
      <w:r>
        <w:t xml:space="preserve">Unique </w:t>
      </w:r>
      <w:r w:rsidR="00CC544E" w:rsidRPr="00E44AD7">
        <w:t xml:space="preserve">Role of </w:t>
      </w:r>
      <w:r w:rsidR="00CC544E">
        <w:t xml:space="preserve">SOAR </w:t>
      </w:r>
      <w:r w:rsidR="00CC544E" w:rsidRPr="00E44AD7">
        <w:t xml:space="preserve">Representatives </w:t>
      </w:r>
    </w:p>
    <w:p w14:paraId="2BCE4A32" w14:textId="0C2F69F7" w:rsidR="00CC544E" w:rsidRPr="00F75599" w:rsidRDefault="003D2B71" w:rsidP="00CC544E">
      <w:r w:rsidRPr="00DD456D">
        <w:rPr>
          <w:rFonts w:cstheme="minorBidi"/>
        </w:rPr>
        <w:t>SOAR providers can be a great resource to OHO staff</w:t>
      </w:r>
      <w:r>
        <w:rPr>
          <w:rFonts w:cstheme="minorBidi"/>
        </w:rPr>
        <w:t xml:space="preserve"> by:</w:t>
      </w:r>
    </w:p>
    <w:p w14:paraId="240123AD" w14:textId="642BF35F" w:rsidR="00CC544E" w:rsidRPr="00F75599" w:rsidRDefault="00CC544E" w:rsidP="00CC544E">
      <w:pPr>
        <w:numPr>
          <w:ilvl w:val="0"/>
          <w:numId w:val="21"/>
        </w:numPr>
      </w:pPr>
      <w:r w:rsidRPr="00F75599">
        <w:t xml:space="preserve">Submitting fully developed claims for </w:t>
      </w:r>
      <w:r w:rsidR="003D2B71">
        <w:t>“</w:t>
      </w:r>
      <w:r w:rsidRPr="00F75599">
        <w:t>critical</w:t>
      </w:r>
      <w:r w:rsidR="003D2B71">
        <w:t>”</w:t>
      </w:r>
      <w:r w:rsidRPr="00F75599">
        <w:t xml:space="preserve"> applicants which will ease OHO</w:t>
      </w:r>
      <w:r w:rsidR="0002679F">
        <w:t>’s</w:t>
      </w:r>
      <w:r w:rsidRPr="00F75599">
        <w:t xml:space="preserve"> burden of organizing and developing </w:t>
      </w:r>
      <w:proofErr w:type="gramStart"/>
      <w:r w:rsidRPr="00F75599">
        <w:t>claim</w:t>
      </w:r>
      <w:r w:rsidR="0002679F">
        <w:t>s</w:t>
      </w:r>
      <w:r w:rsidR="003B2477">
        <w:t>;</w:t>
      </w:r>
      <w:proofErr w:type="gramEnd"/>
    </w:p>
    <w:p w14:paraId="5AC27093" w14:textId="58AD84DD" w:rsidR="00CC544E" w:rsidRPr="00F75599" w:rsidRDefault="001102F4" w:rsidP="00CC544E">
      <w:pPr>
        <w:numPr>
          <w:ilvl w:val="0"/>
          <w:numId w:val="21"/>
        </w:numPr>
      </w:pPr>
      <w:r>
        <w:t xml:space="preserve">Knowing about the applicant’s file and being prepared for the hearing or </w:t>
      </w:r>
      <w:r w:rsidR="00D02A42">
        <w:t xml:space="preserve">a review </w:t>
      </w:r>
      <w:r w:rsidR="003D2B71" w:rsidRPr="00165798">
        <w:t>"On the Record"</w:t>
      </w:r>
      <w:r w:rsidR="00724BDB">
        <w:rPr>
          <w:rStyle w:val="Hyperlink"/>
        </w:rPr>
        <w:t xml:space="preserve"> </w:t>
      </w:r>
      <w:r w:rsidR="00165798">
        <w:rPr>
          <w:rStyle w:val="Hyperlink"/>
        </w:rPr>
        <w:t>(</w:t>
      </w:r>
      <w:hyperlink r:id="rId12" w:history="1">
        <w:r w:rsidR="00165798" w:rsidRPr="00220794">
          <w:rPr>
            <w:rStyle w:val="Hyperlink"/>
          </w:rPr>
          <w:t>https://soarworks.samhsa.gov/article/prehearing-otr-reviews</w:t>
        </w:r>
      </w:hyperlink>
      <w:r w:rsidR="00165798" w:rsidRPr="003B2477">
        <w:rPr>
          <w:rStyle w:val="Hyperlink"/>
          <w:u w:val="none"/>
        </w:rPr>
        <w:t>)</w:t>
      </w:r>
      <w:r w:rsidR="003B2477">
        <w:rPr>
          <w:rStyle w:val="Hyperlink"/>
          <w:u w:val="none"/>
        </w:rPr>
        <w:t>;</w:t>
      </w:r>
    </w:p>
    <w:p w14:paraId="7065913D" w14:textId="05D39803" w:rsidR="00CC544E" w:rsidRDefault="00CC544E" w:rsidP="00CC544E">
      <w:pPr>
        <w:numPr>
          <w:ilvl w:val="0"/>
          <w:numId w:val="21"/>
        </w:numPr>
      </w:pPr>
      <w:r w:rsidRPr="00F75599">
        <w:lastRenderedPageBreak/>
        <w:t xml:space="preserve">Ensuring cases are consistently ready at the time of </w:t>
      </w:r>
      <w:proofErr w:type="gramStart"/>
      <w:r w:rsidRPr="00F75599">
        <w:t>hearing</w:t>
      </w:r>
      <w:r w:rsidR="001102F4">
        <w:t>;</w:t>
      </w:r>
      <w:proofErr w:type="gramEnd"/>
    </w:p>
    <w:p w14:paraId="4CED710D" w14:textId="07A7C4A2" w:rsidR="001102F4" w:rsidRDefault="00CC544E" w:rsidP="001102F4">
      <w:pPr>
        <w:numPr>
          <w:ilvl w:val="0"/>
          <w:numId w:val="21"/>
        </w:numPr>
      </w:pPr>
      <w:r w:rsidRPr="00F75599">
        <w:t xml:space="preserve">Maintaining good communication with </w:t>
      </w:r>
      <w:r w:rsidR="00316747">
        <w:t xml:space="preserve">the </w:t>
      </w:r>
      <w:r w:rsidRPr="00F75599">
        <w:t>applicant and OHO</w:t>
      </w:r>
      <w:r w:rsidR="0002679F">
        <w:t>’s</w:t>
      </w:r>
      <w:r w:rsidRPr="00F75599">
        <w:t xml:space="preserve"> staff</w:t>
      </w:r>
      <w:r w:rsidR="00D95FA3">
        <w:t>;</w:t>
      </w:r>
    </w:p>
    <w:p w14:paraId="18F76B81" w14:textId="6B2073E0" w:rsidR="001102F4" w:rsidRDefault="001102F4" w:rsidP="003D2B71">
      <w:pPr>
        <w:numPr>
          <w:ilvl w:val="0"/>
          <w:numId w:val="21"/>
        </w:numPr>
      </w:pPr>
      <w:r>
        <w:t>W</w:t>
      </w:r>
      <w:r w:rsidRPr="007C7F94">
        <w:t xml:space="preserve">orking with </w:t>
      </w:r>
      <w:r w:rsidR="00316747">
        <w:t>applicants</w:t>
      </w:r>
      <w:r w:rsidRPr="007C7F94">
        <w:t xml:space="preserve"> to obtain the necessary evidence for the</w:t>
      </w:r>
      <w:r>
        <w:t>ir</w:t>
      </w:r>
      <w:r w:rsidRPr="007C7F94">
        <w:t xml:space="preserve"> file; </w:t>
      </w:r>
    </w:p>
    <w:p w14:paraId="15D7CA7C" w14:textId="7488C705" w:rsidR="001102F4" w:rsidRDefault="001102F4" w:rsidP="001102F4">
      <w:pPr>
        <w:numPr>
          <w:ilvl w:val="0"/>
          <w:numId w:val="21"/>
        </w:numPr>
      </w:pPr>
      <w:r>
        <w:t>Assisting applicant</w:t>
      </w:r>
      <w:r w:rsidR="003D2B71">
        <w:t>s</w:t>
      </w:r>
      <w:r>
        <w:t xml:space="preserve"> with obtaining</w:t>
      </w:r>
      <w:r w:rsidRPr="009903F4">
        <w:t xml:space="preserve"> </w:t>
      </w:r>
      <w:r w:rsidR="0002679F">
        <w:t xml:space="preserve">an attorney or other </w:t>
      </w:r>
      <w:r w:rsidRPr="009903F4">
        <w:t>representati</w:t>
      </w:r>
      <w:r w:rsidR="0002679F">
        <w:t>ve</w:t>
      </w:r>
      <w:r w:rsidRPr="009903F4">
        <w:t xml:space="preserve">, </w:t>
      </w:r>
      <w:r>
        <w:t>so</w:t>
      </w:r>
      <w:r w:rsidRPr="009903F4">
        <w:t xml:space="preserve"> </w:t>
      </w:r>
      <w:r w:rsidR="0002679F">
        <w:t>OHO</w:t>
      </w:r>
      <w:r w:rsidRPr="009903F4">
        <w:t xml:space="preserve"> </w:t>
      </w:r>
      <w:r>
        <w:t>do</w:t>
      </w:r>
      <w:r w:rsidR="003D2B71">
        <w:t>es</w:t>
      </w:r>
      <w:r>
        <w:t xml:space="preserve"> not need to</w:t>
      </w:r>
      <w:r w:rsidRPr="009903F4">
        <w:t xml:space="preserve"> postpone the hearing to give a chance for the </w:t>
      </w:r>
      <w:r w:rsidR="00D95FA3">
        <w:t>applicant</w:t>
      </w:r>
      <w:r w:rsidRPr="009903F4">
        <w:t xml:space="preserve"> to get a representative</w:t>
      </w:r>
    </w:p>
    <w:p w14:paraId="15D07BCA" w14:textId="673313F0" w:rsidR="000429EC" w:rsidRDefault="003246B0" w:rsidP="000429EC">
      <w:pPr>
        <w:pStyle w:val="Heading1"/>
      </w:pPr>
      <w:r>
        <w:t>G</w:t>
      </w:r>
      <w:r w:rsidR="00A261CE">
        <w:t>aining</w:t>
      </w:r>
      <w:r>
        <w:t xml:space="preserve"> </w:t>
      </w:r>
      <w:r w:rsidR="000429EC">
        <w:t>Local</w:t>
      </w:r>
      <w:r w:rsidR="00F75599">
        <w:t xml:space="preserve"> OHO</w:t>
      </w:r>
      <w:r w:rsidR="000429EC">
        <w:t xml:space="preserve"> Involvement</w:t>
      </w:r>
    </w:p>
    <w:p w14:paraId="3896F0EB" w14:textId="77777777" w:rsidR="008E209B" w:rsidRDefault="001C127B" w:rsidP="008E209B">
      <w:r>
        <w:t>Involving</w:t>
      </w:r>
      <w:r w:rsidR="00F75599">
        <w:t xml:space="preserve"> local</w:t>
      </w:r>
      <w:r w:rsidR="000429EC">
        <w:t xml:space="preserve"> </w:t>
      </w:r>
      <w:r w:rsidR="00F75599">
        <w:t>OHO staff</w:t>
      </w:r>
      <w:r w:rsidR="00602858">
        <w:t xml:space="preserve"> </w:t>
      </w:r>
      <w:r w:rsidR="0002679F">
        <w:t>(</w:t>
      </w:r>
      <w:r w:rsidR="00602858">
        <w:t>e.g. Hearing Office Director, Group Sup</w:t>
      </w:r>
      <w:r w:rsidR="00D95FA3">
        <w:t>ervisor or Chief ALJ</w:t>
      </w:r>
      <w:r w:rsidR="0002679F">
        <w:t>)</w:t>
      </w:r>
      <w:r w:rsidR="00D95FA3">
        <w:t xml:space="preserve"> </w:t>
      </w:r>
      <w:r w:rsidR="00D15D96">
        <w:t>in your local steering committees and/or SOAR practitioner meetings</w:t>
      </w:r>
      <w:r w:rsidR="00D15D96" w:rsidDel="001C127B">
        <w:t xml:space="preserve"> </w:t>
      </w:r>
      <w:r w:rsidR="005924CD">
        <w:t xml:space="preserve">can be a great way to </w:t>
      </w:r>
      <w:r w:rsidR="00602858">
        <w:t xml:space="preserve">share how SOAR collaborations can be a win-win! </w:t>
      </w:r>
      <w:r w:rsidR="000429EC">
        <w:t xml:space="preserve"> You can </w:t>
      </w:r>
      <w:r w:rsidR="005924CD">
        <w:t xml:space="preserve">share information on specific </w:t>
      </w:r>
      <w:r w:rsidR="003D2B71">
        <w:t>“</w:t>
      </w:r>
      <w:r w:rsidR="00D95FA3">
        <w:t>critical</w:t>
      </w:r>
      <w:r w:rsidR="003D2B71">
        <w:t>”</w:t>
      </w:r>
      <w:r w:rsidR="00D95FA3">
        <w:t xml:space="preserve"> </w:t>
      </w:r>
      <w:r w:rsidR="005924CD">
        <w:t>cases, better understand OHO office workload and average processing times, and create</w:t>
      </w:r>
      <w:r w:rsidR="00FD0BC7">
        <w:t xml:space="preserve"> a</w:t>
      </w:r>
      <w:r w:rsidR="005924CD">
        <w:t xml:space="preserve"> process for submitting SOAR </w:t>
      </w:r>
      <w:r w:rsidR="003D2B71">
        <w:t>“</w:t>
      </w:r>
      <w:r w:rsidR="00D95FA3">
        <w:t>critical</w:t>
      </w:r>
      <w:r w:rsidR="003D2B71">
        <w:t>”</w:t>
      </w:r>
      <w:r w:rsidR="00D95FA3">
        <w:t xml:space="preserve"> </w:t>
      </w:r>
      <w:r w:rsidR="005924CD">
        <w:t xml:space="preserve">claims. </w:t>
      </w:r>
    </w:p>
    <w:p w14:paraId="2A72BC19" w14:textId="1DFDBA58" w:rsidR="00AD4475" w:rsidRPr="008E209B" w:rsidRDefault="005E78B6" w:rsidP="008E209B">
      <w:pPr>
        <w:pStyle w:val="ListParagraph"/>
        <w:numPr>
          <w:ilvl w:val="0"/>
          <w:numId w:val="27"/>
        </w:numPr>
        <w:rPr>
          <w:rStyle w:val="Hyperlink"/>
          <w:color w:val="auto"/>
          <w:u w:val="none"/>
        </w:rPr>
      </w:pPr>
      <w:r>
        <w:t>SOAR Directory</w:t>
      </w:r>
      <w:r w:rsidR="000429EC">
        <w:t xml:space="preserve">: </w:t>
      </w:r>
      <w:hyperlink r:id="rId13" w:history="1">
        <w:r w:rsidR="003B2477">
          <w:rPr>
            <w:rStyle w:val="Hyperlink"/>
          </w:rPr>
          <w:t>https://soarworks.samhsa.gov/directory</w:t>
        </w:r>
      </w:hyperlink>
    </w:p>
    <w:p w14:paraId="72EC2AFD" w14:textId="3E9A9091" w:rsidR="005E78B6" w:rsidRDefault="005E78B6" w:rsidP="00C3080E">
      <w:pPr>
        <w:pStyle w:val="ListParagraph"/>
      </w:pPr>
      <w:r w:rsidRPr="005E78B6">
        <w:rPr>
          <w:rFonts w:cstheme="minorBidi"/>
        </w:rPr>
        <w:t>Hearing Office Locator</w:t>
      </w:r>
      <w:r w:rsidR="003246B0" w:rsidRPr="00C3080E">
        <w:rPr>
          <w:rFonts w:cstheme="minorBidi"/>
        </w:rPr>
        <w:t xml:space="preserve">: </w:t>
      </w:r>
      <w:hyperlink r:id="rId14" w:history="1">
        <w:r w:rsidRPr="005E78B6">
          <w:rPr>
            <w:rFonts w:cstheme="minorBidi"/>
            <w:color w:val="0563C1" w:themeColor="hyperlink"/>
            <w:u w:val="single"/>
          </w:rPr>
          <w:t>https://www.ssa.gov/appeals/ho_locator.html</w:t>
        </w:r>
      </w:hyperlink>
    </w:p>
    <w:p w14:paraId="2981F6E3" w14:textId="4111D25C" w:rsidR="003246B0" w:rsidRPr="007A7964" w:rsidRDefault="005E78B6" w:rsidP="00C3080E">
      <w:pPr>
        <w:pStyle w:val="ListParagraph"/>
      </w:pPr>
      <w:r>
        <w:t xml:space="preserve">SSA Office Locator: </w:t>
      </w:r>
      <w:hyperlink r:id="rId15" w:history="1">
        <w:r w:rsidR="00165798" w:rsidRPr="002C196C">
          <w:rPr>
            <w:rStyle w:val="Hyperlink"/>
          </w:rPr>
          <w:t>https://www.ssa.gov/locator/</w:t>
        </w:r>
      </w:hyperlink>
      <w:r w:rsidR="00165798">
        <w:t xml:space="preserve"> </w:t>
      </w:r>
    </w:p>
    <w:p w14:paraId="064020AD" w14:textId="0839826C" w:rsidR="005924CD" w:rsidRPr="005E78B6" w:rsidRDefault="005924CD" w:rsidP="00C3080E">
      <w:pPr>
        <w:rPr>
          <w:rStyle w:val="Hyperlink"/>
          <w:color w:val="auto"/>
          <w:u w:val="none"/>
        </w:rPr>
      </w:pPr>
    </w:p>
    <w:p w14:paraId="4E915D30" w14:textId="2FA884F1" w:rsidR="00F263D5" w:rsidRPr="005E78B6" w:rsidRDefault="00F263D5" w:rsidP="005E78B6">
      <w:pPr>
        <w:rPr>
          <w:rStyle w:val="Hyperlink"/>
          <w:color w:val="auto"/>
          <w:u w:val="none"/>
        </w:rPr>
      </w:pPr>
      <w:r>
        <w:rPr>
          <w:rStyle w:val="Hyperlink"/>
          <w:color w:val="auto"/>
          <w:u w:val="none"/>
        </w:rPr>
        <w:t>Once you connect to the OHO office, you will want to send information about SOAR. Here are a few handouts to consider</w:t>
      </w:r>
      <w:r w:rsidR="007A7964">
        <w:rPr>
          <w:rStyle w:val="Hyperlink"/>
          <w:color w:val="auto"/>
          <w:u w:val="none"/>
        </w:rPr>
        <w:t xml:space="preserve"> in addition to your</w:t>
      </w:r>
      <w:r w:rsidR="00D02A42">
        <w:rPr>
          <w:rStyle w:val="Hyperlink"/>
          <w:color w:val="auto"/>
          <w:u w:val="none"/>
        </w:rPr>
        <w:t xml:space="preserve"> local SOAR initiative information</w:t>
      </w:r>
      <w:r>
        <w:rPr>
          <w:rStyle w:val="Hyperlink"/>
          <w:color w:val="auto"/>
          <w:u w:val="none"/>
        </w:rPr>
        <w:t xml:space="preserve">: </w:t>
      </w:r>
    </w:p>
    <w:p w14:paraId="7474FE5E" w14:textId="0DCAFF18" w:rsidR="00D95FA3" w:rsidRPr="00356AA6" w:rsidRDefault="003B2477" w:rsidP="00D95FA3">
      <w:pPr>
        <w:pStyle w:val="ListParagraph"/>
        <w:numPr>
          <w:ilvl w:val="0"/>
          <w:numId w:val="24"/>
        </w:numPr>
        <w:rPr>
          <w:rStyle w:val="Hyperlink"/>
          <w:color w:val="000000" w:themeColor="text1"/>
          <w:u w:val="none"/>
        </w:rPr>
      </w:pPr>
      <w:hyperlink r:id="rId16" w:history="1">
        <w:r w:rsidR="00F263D5" w:rsidRPr="003B2477">
          <w:rPr>
            <w:rStyle w:val="Hyperlink"/>
          </w:rPr>
          <w:t>SOAR Overview Infographic</w:t>
        </w:r>
      </w:hyperlink>
      <w:r w:rsidR="007378D8">
        <w:rPr>
          <w:rStyle w:val="Hyperlink"/>
          <w:color w:val="000000" w:themeColor="text1"/>
          <w:u w:val="none"/>
        </w:rPr>
        <w:t xml:space="preserve"> (</w:t>
      </w:r>
      <w:r w:rsidR="00EB2574" w:rsidRPr="00356AA6">
        <w:rPr>
          <w:rStyle w:val="Hyperlink"/>
          <w:color w:val="000000" w:themeColor="text1"/>
          <w:u w:val="none"/>
        </w:rPr>
        <w:t>to provide an overview of the SOAR initiative)</w:t>
      </w:r>
    </w:p>
    <w:p w14:paraId="1F0E3ED7" w14:textId="02F566FC" w:rsidR="00EB2574" w:rsidRPr="007A7964" w:rsidRDefault="003B2477" w:rsidP="00EB2574">
      <w:pPr>
        <w:pStyle w:val="ListParagraph"/>
        <w:numPr>
          <w:ilvl w:val="0"/>
          <w:numId w:val="24"/>
        </w:numPr>
        <w:rPr>
          <w:rStyle w:val="Hyperlink"/>
          <w:color w:val="auto"/>
          <w:u w:val="none"/>
        </w:rPr>
      </w:pPr>
      <w:hyperlink r:id="rId17" w:history="1">
        <w:r w:rsidR="00691478" w:rsidRPr="003B2477">
          <w:rPr>
            <w:rStyle w:val="Hyperlink"/>
          </w:rPr>
          <w:t>20</w:t>
        </w:r>
        <w:r w:rsidR="007378D8" w:rsidRPr="003B2477">
          <w:rPr>
            <w:rStyle w:val="Hyperlink"/>
          </w:rPr>
          <w:t>20</w:t>
        </w:r>
        <w:r w:rsidR="001D3DF7" w:rsidRPr="003B2477">
          <w:rPr>
            <w:rStyle w:val="Hyperlink"/>
          </w:rPr>
          <w:t xml:space="preserve"> SOAR Outcomes Infographic</w:t>
        </w:r>
      </w:hyperlink>
      <w:r w:rsidR="00EB2574">
        <w:rPr>
          <w:rStyle w:val="Hyperlink"/>
          <w:color w:val="auto"/>
          <w:u w:val="none"/>
        </w:rPr>
        <w:t xml:space="preserve"> (to share approval rates and processing times)</w:t>
      </w:r>
    </w:p>
    <w:p w14:paraId="2F7E7B2E" w14:textId="523CDA8E" w:rsidR="00D95FA3" w:rsidRDefault="00724BDB" w:rsidP="00C3080E">
      <w:pPr>
        <w:pStyle w:val="ListParagraph"/>
        <w:rPr>
          <w:rStyle w:val="Hyperlink"/>
          <w:color w:val="auto"/>
          <w:u w:val="none"/>
        </w:rPr>
      </w:pPr>
      <w:hyperlink r:id="rId18" w:history="1">
        <w:r w:rsidR="00EB2574" w:rsidRPr="00EB2574">
          <w:rPr>
            <w:rStyle w:val="Hyperlink"/>
          </w:rPr>
          <w:t>Getting Involved with SOAR</w:t>
        </w:r>
      </w:hyperlink>
      <w:r w:rsidR="00EB2574">
        <w:rPr>
          <w:rStyle w:val="Hyperlink"/>
          <w:color w:val="auto"/>
          <w:u w:val="none"/>
        </w:rPr>
        <w:t xml:space="preserve"> (to demonstrate the elements of the SOAR model and process)</w:t>
      </w:r>
    </w:p>
    <w:p w14:paraId="47BEDC63" w14:textId="1DB8A0C2" w:rsidR="00D95FA3" w:rsidRPr="00D95FA3" w:rsidRDefault="00AD4475" w:rsidP="00D95FA3">
      <w:pPr>
        <w:pStyle w:val="Heading1"/>
      </w:pPr>
      <w:r>
        <w:t xml:space="preserve">Benefit to </w:t>
      </w:r>
      <w:r w:rsidR="003246B0">
        <w:t>OHO</w:t>
      </w:r>
      <w:r w:rsidR="00A42934">
        <w:t xml:space="preserve"> and </w:t>
      </w:r>
      <w:r w:rsidR="00D95FA3">
        <w:t>SOAR Applicants</w:t>
      </w:r>
    </w:p>
    <w:p w14:paraId="0C9B492B" w14:textId="36A6D9EB" w:rsidR="00602858" w:rsidRPr="00B93632" w:rsidRDefault="002500AC" w:rsidP="00602858">
      <w:r>
        <w:t>Access to SSI/SSDI can be</w:t>
      </w:r>
      <w:r w:rsidRPr="002500AC">
        <w:t xml:space="preserve"> a major tool in </w:t>
      </w:r>
      <w:r w:rsidR="001749D1">
        <w:t xml:space="preserve">building resiliency and </w:t>
      </w:r>
      <w:r w:rsidRPr="002500AC">
        <w:t>recovery, from</w:t>
      </w:r>
      <w:r w:rsidR="004D7424">
        <w:t xml:space="preserve"> both</w:t>
      </w:r>
      <w:r w:rsidRPr="002500AC">
        <w:t xml:space="preserve"> </w:t>
      </w:r>
      <w:r w:rsidR="001749D1">
        <w:t xml:space="preserve">serious </w:t>
      </w:r>
      <w:r w:rsidRPr="002500AC">
        <w:t xml:space="preserve">mental illness and homelessness. </w:t>
      </w:r>
      <w:r w:rsidR="003D2F36" w:rsidRPr="00571903">
        <w:t xml:space="preserve">Without </w:t>
      </w:r>
      <w:r>
        <w:t>the support of a SOAR provider</w:t>
      </w:r>
      <w:r w:rsidR="003D2F36" w:rsidRPr="00571903">
        <w:t xml:space="preserve">, </w:t>
      </w:r>
      <w:r>
        <w:t xml:space="preserve">it can </w:t>
      </w:r>
      <w:r w:rsidR="003D2F36" w:rsidRPr="00571903">
        <w:t xml:space="preserve">take </w:t>
      </w:r>
      <w:r>
        <w:t>as long as 1</w:t>
      </w:r>
      <w:r w:rsidR="003D2F36" w:rsidRPr="00571903">
        <w:t>-3 years to obtain approval</w:t>
      </w:r>
      <w:r>
        <w:t xml:space="preserve"> for SSI/SSDI</w:t>
      </w:r>
      <w:r w:rsidR="003D2F36" w:rsidRPr="00571903">
        <w:t xml:space="preserve">, during which time </w:t>
      </w:r>
      <w:r w:rsidR="001D3DF7">
        <w:t>applicants experiencing homelessness</w:t>
      </w:r>
      <w:r w:rsidR="003D2F36" w:rsidRPr="00571903">
        <w:t xml:space="preserve"> </w:t>
      </w:r>
      <w:r w:rsidR="004602DF">
        <w:t>often</w:t>
      </w:r>
      <w:r w:rsidR="001D3DF7">
        <w:t xml:space="preserve"> get</w:t>
      </w:r>
      <w:r w:rsidR="004602DF">
        <w:t xml:space="preserve"> </w:t>
      </w:r>
      <w:r w:rsidR="003D2F36" w:rsidRPr="00571903">
        <w:t xml:space="preserve">lost </w:t>
      </w:r>
      <w:r w:rsidR="001D3DF7">
        <w:t>in</w:t>
      </w:r>
      <w:r w:rsidR="003D2F36" w:rsidRPr="00571903">
        <w:t xml:space="preserve"> the process and require a great deal of community support simply to survive. </w:t>
      </w:r>
      <w:r w:rsidR="00602858">
        <w:t xml:space="preserve"> SOAR</w:t>
      </w:r>
      <w:r w:rsidR="00297A61">
        <w:t xml:space="preserve"> collaboration</w:t>
      </w:r>
      <w:r w:rsidR="00602858">
        <w:t xml:space="preserve"> with your OHO office can help ease their backlog and workload issues, while at the same time, improving access to expedited decisions for SOAR applicants. </w:t>
      </w:r>
    </w:p>
    <w:p w14:paraId="2A36E49A" w14:textId="7D67D8C5" w:rsidR="005924CD" w:rsidRDefault="005924CD" w:rsidP="005924CD">
      <w:pPr>
        <w:pStyle w:val="Heading1"/>
      </w:pPr>
      <w:r>
        <w:t>Additional Resources</w:t>
      </w:r>
      <w:r w:rsidR="00391DE3">
        <w:t xml:space="preserve"> and Information</w:t>
      </w:r>
    </w:p>
    <w:p w14:paraId="02132C99" w14:textId="02CB6C56" w:rsidR="005924CD" w:rsidRPr="005924CD" w:rsidRDefault="005924CD" w:rsidP="003246B0">
      <w:pPr>
        <w:pStyle w:val="Heading2"/>
        <w:rPr>
          <w:lang w:val="en"/>
        </w:rPr>
      </w:pPr>
      <w:r w:rsidRPr="005924CD">
        <w:rPr>
          <w:lang w:val="en"/>
        </w:rPr>
        <w:t>Appointed Representative Services</w:t>
      </w:r>
      <w:r w:rsidR="00297A61">
        <w:rPr>
          <w:lang w:val="en"/>
        </w:rPr>
        <w:t xml:space="preserve"> (ARS)</w:t>
      </w:r>
    </w:p>
    <w:p w14:paraId="78909A77" w14:textId="3E41E718" w:rsidR="003246B0" w:rsidRPr="00C3080E" w:rsidRDefault="005924CD" w:rsidP="003246B0">
      <w:pPr>
        <w:spacing w:after="160" w:line="259" w:lineRule="auto"/>
        <w:rPr>
          <w:rFonts w:cstheme="minorBidi"/>
          <w:lang w:val="en"/>
        </w:rPr>
      </w:pPr>
      <w:r w:rsidRPr="00C3080E">
        <w:rPr>
          <w:rFonts w:cstheme="minorBidi"/>
          <w:lang w:val="en"/>
        </w:rPr>
        <w:t xml:space="preserve">ARS is an </w:t>
      </w:r>
      <w:r w:rsidR="005E78B6" w:rsidRPr="00C3080E">
        <w:rPr>
          <w:rFonts w:cstheme="minorBidi"/>
          <w:lang w:val="en"/>
        </w:rPr>
        <w:t xml:space="preserve">online </w:t>
      </w:r>
      <w:r w:rsidRPr="00C3080E">
        <w:rPr>
          <w:rFonts w:cstheme="minorBidi"/>
          <w:lang w:val="en"/>
        </w:rPr>
        <w:t>application that allows appointed representatives to view electronic folder (eFolder) documents in real time, to download eFolder contents including multimedia files</w:t>
      </w:r>
      <w:r w:rsidR="005E78B6" w:rsidRPr="00C3080E">
        <w:rPr>
          <w:rFonts w:cstheme="minorBidi"/>
          <w:lang w:val="en"/>
        </w:rPr>
        <w:t>,</w:t>
      </w:r>
      <w:r w:rsidRPr="00C3080E">
        <w:rPr>
          <w:rFonts w:cstheme="minorBidi"/>
          <w:lang w:val="en"/>
        </w:rPr>
        <w:t xml:space="preserve"> and upload medical evidence and other documents directly into a claimant's eFolder. Representatives may also download status reports with key information regarding their pending and recently closed cases.</w:t>
      </w:r>
      <w:r w:rsidR="003246B0" w:rsidRPr="00C3080E">
        <w:rPr>
          <w:rFonts w:cstheme="minorBidi"/>
          <w:lang w:val="en"/>
        </w:rPr>
        <w:t xml:space="preserve"> </w:t>
      </w:r>
      <w:r w:rsidRPr="00C3080E">
        <w:rPr>
          <w:rFonts w:cstheme="minorBidi"/>
          <w:lang w:val="en"/>
        </w:rPr>
        <w:t>Using ARS will give you real time and up-to-date access to your claimant's electronic folders for cases pending at OHO.</w:t>
      </w:r>
      <w:r w:rsidR="00D02A42" w:rsidRPr="00C3080E">
        <w:rPr>
          <w:rFonts w:cstheme="minorBidi"/>
          <w:lang w:val="en"/>
        </w:rPr>
        <w:t xml:space="preserve">  </w:t>
      </w:r>
      <w:r w:rsidR="005E78B6" w:rsidRPr="005E78B6">
        <w:t>For more information, v</w:t>
      </w:r>
      <w:r w:rsidR="005E78B6" w:rsidRPr="00D15D96">
        <w:t xml:space="preserve">isit: </w:t>
      </w:r>
      <w:hyperlink r:id="rId19" w:history="1">
        <w:r w:rsidR="003246B0" w:rsidRPr="00C3080E">
          <w:rPr>
            <w:rStyle w:val="Hyperlink"/>
            <w:rFonts w:cstheme="minorBidi"/>
            <w:lang w:val="en"/>
          </w:rPr>
          <w:t>https://www.ssa.gov/ar/</w:t>
        </w:r>
      </w:hyperlink>
    </w:p>
    <w:p w14:paraId="163B25E9" w14:textId="77777777" w:rsidR="00CC544E" w:rsidRPr="00CC544E" w:rsidRDefault="00CC544E" w:rsidP="003246B0">
      <w:pPr>
        <w:pStyle w:val="Heading2"/>
      </w:pPr>
      <w:r w:rsidRPr="00CC544E">
        <w:t>OHO Structure</w:t>
      </w:r>
    </w:p>
    <w:p w14:paraId="6233CE50" w14:textId="4E73CD14" w:rsidR="00F133DE" w:rsidRDefault="00CC544E" w:rsidP="0055465D">
      <w:r w:rsidRPr="00CC544E">
        <w:t xml:space="preserve">Each OHO Regional Office (RO), under the direction of the Regional Chief ALJ, is responsible for executing the hearings process within the region. It provides direction, leadership, management, and guidance to RO staff and the regional hearing offices. Each hearing office has a management team that includes the Hearing Office Chief ALJ (HOCALJ) and Hearing Office Director who supervise, plan, organize, and control hearing office operating activities. OHO hearing offices maintain a master docket system that contains all requests for hearings and remanded claims. </w:t>
      </w:r>
    </w:p>
    <w:sectPr w:rsidR="00F133DE" w:rsidSect="00890D00">
      <w:headerReference w:type="default" r:id="rId20"/>
      <w:footerReference w:type="default" r:id="rId21"/>
      <w:pgSz w:w="12240" w:h="15840"/>
      <w:pgMar w:top="1008" w:right="864" w:bottom="1008"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6EB3" w14:textId="77777777" w:rsidR="00E272CF" w:rsidRDefault="00E272CF" w:rsidP="000D67CA">
      <w:r>
        <w:separator/>
      </w:r>
    </w:p>
  </w:endnote>
  <w:endnote w:type="continuationSeparator" w:id="0">
    <w:p w14:paraId="08A2E2C3" w14:textId="77777777" w:rsidR="00E272CF" w:rsidRDefault="00E272CF"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7D99" w14:textId="31BD4445" w:rsidR="00683CB9" w:rsidRPr="00122540" w:rsidRDefault="00122540" w:rsidP="00683CB9">
    <w:pPr>
      <w:pStyle w:val="Footer"/>
      <w:pBdr>
        <w:top w:val="single" w:sz="4" w:space="1" w:color="2F5496" w:themeColor="accent5" w:themeShade="BF"/>
      </w:pBdr>
      <w:tabs>
        <w:tab w:val="clear" w:pos="4320"/>
        <w:tab w:val="clear" w:pos="8640"/>
        <w:tab w:val="right" w:pos="10440"/>
      </w:tabs>
      <w:ind w:left="-90"/>
      <w:rPr>
        <w:noProof/>
      </w:rPr>
    </w:pPr>
    <w:r>
      <w:rPr>
        <w:noProof/>
      </w:rPr>
      <w:t>SSI/SSDI Outreach, Access and Recovery (SOAR) Technical Assistance Center</w:t>
    </w:r>
    <w:r>
      <w:rPr>
        <w:noProof/>
      </w:rPr>
      <w:tab/>
    </w:r>
    <w:r w:rsidR="002B7DF1">
      <w:rPr>
        <w:noProof/>
      </w:rPr>
      <w:t>October 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24BFE" w14:textId="77777777" w:rsidR="00E272CF" w:rsidRDefault="00E272CF" w:rsidP="000D67CA">
      <w:r>
        <w:separator/>
      </w:r>
    </w:p>
  </w:footnote>
  <w:footnote w:type="continuationSeparator" w:id="0">
    <w:p w14:paraId="19CF6532" w14:textId="77777777" w:rsidR="00E272CF" w:rsidRDefault="00E272CF" w:rsidP="000D67CA">
      <w:r>
        <w:continuationSeparator/>
      </w:r>
    </w:p>
  </w:footnote>
  <w:footnote w:id="1">
    <w:p w14:paraId="659DF3FC" w14:textId="324DD58E" w:rsidR="00CF30D1" w:rsidRDefault="00CF30D1">
      <w:pPr>
        <w:pStyle w:val="FootnoteText"/>
      </w:pPr>
      <w:r>
        <w:rPr>
          <w:rStyle w:val="FootnoteReference"/>
        </w:rPr>
        <w:footnoteRef/>
      </w:r>
      <w:r>
        <w:t xml:space="preserve"> </w:t>
      </w:r>
      <w:r w:rsidR="00847EDB" w:rsidRPr="00847EDB">
        <w:rPr>
          <w:rFonts w:asciiTheme="minorHAnsi" w:hAnsiTheme="minorHAnsi"/>
        </w:rPr>
        <w:t xml:space="preserve">Disability backlogs: </w:t>
      </w:r>
      <w:hyperlink r:id="rId1" w:history="1">
        <w:r w:rsidR="0073574E" w:rsidRPr="002C196C">
          <w:rPr>
            <w:rStyle w:val="Hyperlink"/>
          </w:rPr>
          <w:t>https://oig.ssa.gov/top-ssa-management-issues/</w:t>
        </w:r>
      </w:hyperlink>
      <w:r w:rsidR="0073574E">
        <w:t xml:space="preserve"> </w:t>
      </w:r>
    </w:p>
  </w:footnote>
  <w:footnote w:id="2">
    <w:p w14:paraId="2A3BD60E" w14:textId="3F539884" w:rsidR="00A346BA" w:rsidRPr="0072228D" w:rsidRDefault="00A346BA">
      <w:pPr>
        <w:pStyle w:val="FootnoteText"/>
        <w:rPr>
          <w:rFonts w:asciiTheme="minorHAnsi" w:hAnsiTheme="minorHAnsi"/>
        </w:rPr>
      </w:pPr>
      <w:r>
        <w:rPr>
          <w:rStyle w:val="FootnoteReference"/>
        </w:rPr>
        <w:footnoteRef/>
      </w:r>
      <w:r>
        <w:t xml:space="preserve"> </w:t>
      </w:r>
      <w:r w:rsidR="004B6AD8" w:rsidRPr="004B6AD8">
        <w:rPr>
          <w:rFonts w:asciiTheme="minorHAnsi" w:hAnsiTheme="minorHAnsi"/>
        </w:rPr>
        <w:t xml:space="preserve">Social Security Administration HALLEX on Critical Cases: </w:t>
      </w:r>
      <w:hyperlink r:id="rId2" w:history="1">
        <w:r w:rsidR="009D31A2" w:rsidRPr="002C196C">
          <w:rPr>
            <w:rStyle w:val="Hyperlink"/>
            <w:rFonts w:asciiTheme="minorHAnsi" w:hAnsiTheme="minorHAnsi"/>
          </w:rPr>
          <w:t>https://www.ssa.gov/OP_Home/hallex/I-02/I-2-1-40.html</w:t>
        </w:r>
      </w:hyperlink>
      <w:r w:rsidR="009D31A2">
        <w:rPr>
          <w:rFonts w:asciiTheme="minorHAnsi" w:hAnsiTheme="minorHAnsi"/>
        </w:rPr>
        <w:t xml:space="preserve"> </w:t>
      </w:r>
    </w:p>
    <w:p w14:paraId="2FAC490B" w14:textId="37C5E316" w:rsidR="0072228D" w:rsidRDefault="0072228D">
      <w:pPr>
        <w:pStyle w:val="FootnoteText"/>
      </w:pPr>
      <w:r w:rsidRPr="0072228D">
        <w:rPr>
          <w:rFonts w:asciiTheme="minorHAnsi" w:hAnsiTheme="minorHAnsi"/>
        </w:rPr>
        <w:t>*Hearing processing time statistics from the text box:</w:t>
      </w:r>
      <w:r w:rsidR="00165C46">
        <w:rPr>
          <w:rFonts w:asciiTheme="minorHAnsi" w:hAnsiTheme="minorHAnsi"/>
        </w:rPr>
        <w:t xml:space="preserve"> </w:t>
      </w:r>
      <w:r w:rsidR="00847EDB">
        <w:rPr>
          <w:rFonts w:asciiTheme="minorHAnsi" w:hAnsiTheme="minorHAnsi"/>
        </w:rPr>
        <w:t>SSA</w:t>
      </w:r>
      <w:r w:rsidR="00165C46">
        <w:rPr>
          <w:rFonts w:asciiTheme="minorHAnsi" w:hAnsiTheme="minorHAnsi"/>
        </w:rPr>
        <w:t xml:space="preserve"> Annual Performance Report 2017-2019</w:t>
      </w:r>
      <w:r w:rsidRPr="0072228D">
        <w:rPr>
          <w:rFonts w:asciiTheme="minorHAnsi" w:hAnsiTheme="minorHAnsi"/>
        </w:rPr>
        <w:t xml:space="preserve"> </w:t>
      </w:r>
      <w:hyperlink r:id="rId3" w:history="1">
        <w:r w:rsidRPr="0072228D">
          <w:rPr>
            <w:rStyle w:val="Hyperlink"/>
            <w:rFonts w:asciiTheme="minorHAnsi" w:hAnsiTheme="minorHAnsi"/>
          </w:rPr>
          <w:t>https://www.ssa.gov/budget/FY19Files/2019APR.pdf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1F2A" w14:textId="0A78B98D" w:rsidR="006B1297" w:rsidRDefault="006B1297" w:rsidP="00D03A9F">
    <w:pPr>
      <w:tabs>
        <w:tab w:val="right" w:pos="10080"/>
      </w:tabs>
    </w:pPr>
    <w:r w:rsidRPr="00C8539D">
      <w:rPr>
        <w:noProof/>
      </w:rPr>
      <w:drawing>
        <wp:anchor distT="0" distB="0" distL="114300" distR="114300" simplePos="0" relativeHeight="251659264" behindDoc="1" locked="0" layoutInCell="1" allowOverlap="1" wp14:anchorId="6F48112B" wp14:editId="3AC78739">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D03A9F">
      <w:rPr>
        <w:noProof/>
      </w:rPr>
      <w:drawing>
        <wp:inline distT="0" distB="0" distL="0" distR="0" wp14:anchorId="6D25E247" wp14:editId="59B53B4C">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09BE4B41" w14:textId="77777777" w:rsidR="00BF6141" w:rsidRDefault="00BF6141" w:rsidP="000D67CA">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B31"/>
    <w:multiLevelType w:val="hybridMultilevel"/>
    <w:tmpl w:val="DCB0E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DB4"/>
    <w:multiLevelType w:val="hybridMultilevel"/>
    <w:tmpl w:val="B62C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2823"/>
    <w:multiLevelType w:val="hybridMultilevel"/>
    <w:tmpl w:val="7AA6BC4E"/>
    <w:lvl w:ilvl="0" w:tplc="5DA84C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3F7"/>
    <w:multiLevelType w:val="hybridMultilevel"/>
    <w:tmpl w:val="6106ACE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238C"/>
    <w:multiLevelType w:val="hybridMultilevel"/>
    <w:tmpl w:val="EB32754A"/>
    <w:lvl w:ilvl="0" w:tplc="5DA84C1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73B04"/>
    <w:multiLevelType w:val="hybridMultilevel"/>
    <w:tmpl w:val="0C0A4D32"/>
    <w:lvl w:ilvl="0" w:tplc="A6464A12">
      <w:start w:val="1"/>
      <w:numFmt w:val="bullet"/>
      <w:lvlText w:val=""/>
      <w:lvlJc w:val="left"/>
      <w:pPr>
        <w:ind w:left="720" w:hanging="360"/>
      </w:pPr>
      <w:rPr>
        <w:rFonts w:ascii="Wingdings" w:hAnsi="Wingdings" w:hint="default"/>
      </w:rPr>
    </w:lvl>
    <w:lvl w:ilvl="1" w:tplc="D45672D2">
      <w:start w:val="743"/>
      <w:numFmt w:val="bullet"/>
      <w:lvlText w:val=""/>
      <w:lvlJc w:val="left"/>
      <w:pPr>
        <w:tabs>
          <w:tab w:val="num" w:pos="1080"/>
        </w:tabs>
        <w:ind w:left="1080" w:hanging="360"/>
      </w:pPr>
      <w:rPr>
        <w:rFonts w:ascii="Wingdings" w:hAnsi="Wingdings" w:hint="default"/>
      </w:rPr>
    </w:lvl>
    <w:lvl w:ilvl="2" w:tplc="74E4C1B4" w:tentative="1">
      <w:start w:val="1"/>
      <w:numFmt w:val="bullet"/>
      <w:lvlText w:val=""/>
      <w:lvlJc w:val="left"/>
      <w:pPr>
        <w:tabs>
          <w:tab w:val="num" w:pos="1800"/>
        </w:tabs>
        <w:ind w:left="1800" w:hanging="360"/>
      </w:pPr>
      <w:rPr>
        <w:rFonts w:ascii="Wingdings" w:hAnsi="Wingdings" w:hint="default"/>
      </w:rPr>
    </w:lvl>
    <w:lvl w:ilvl="3" w:tplc="96389040" w:tentative="1">
      <w:start w:val="1"/>
      <w:numFmt w:val="bullet"/>
      <w:lvlText w:val=""/>
      <w:lvlJc w:val="left"/>
      <w:pPr>
        <w:tabs>
          <w:tab w:val="num" w:pos="2520"/>
        </w:tabs>
        <w:ind w:left="2520" w:hanging="360"/>
      </w:pPr>
      <w:rPr>
        <w:rFonts w:ascii="Wingdings" w:hAnsi="Wingdings" w:hint="default"/>
      </w:rPr>
    </w:lvl>
    <w:lvl w:ilvl="4" w:tplc="663A2BAA" w:tentative="1">
      <w:start w:val="1"/>
      <w:numFmt w:val="bullet"/>
      <w:lvlText w:val=""/>
      <w:lvlJc w:val="left"/>
      <w:pPr>
        <w:tabs>
          <w:tab w:val="num" w:pos="3240"/>
        </w:tabs>
        <w:ind w:left="3240" w:hanging="360"/>
      </w:pPr>
      <w:rPr>
        <w:rFonts w:ascii="Wingdings" w:hAnsi="Wingdings" w:hint="default"/>
      </w:rPr>
    </w:lvl>
    <w:lvl w:ilvl="5" w:tplc="66148844" w:tentative="1">
      <w:start w:val="1"/>
      <w:numFmt w:val="bullet"/>
      <w:lvlText w:val=""/>
      <w:lvlJc w:val="left"/>
      <w:pPr>
        <w:tabs>
          <w:tab w:val="num" w:pos="3960"/>
        </w:tabs>
        <w:ind w:left="3960" w:hanging="360"/>
      </w:pPr>
      <w:rPr>
        <w:rFonts w:ascii="Wingdings" w:hAnsi="Wingdings" w:hint="default"/>
      </w:rPr>
    </w:lvl>
    <w:lvl w:ilvl="6" w:tplc="2766CC12" w:tentative="1">
      <w:start w:val="1"/>
      <w:numFmt w:val="bullet"/>
      <w:lvlText w:val=""/>
      <w:lvlJc w:val="left"/>
      <w:pPr>
        <w:tabs>
          <w:tab w:val="num" w:pos="4680"/>
        </w:tabs>
        <w:ind w:left="4680" w:hanging="360"/>
      </w:pPr>
      <w:rPr>
        <w:rFonts w:ascii="Wingdings" w:hAnsi="Wingdings" w:hint="default"/>
      </w:rPr>
    </w:lvl>
    <w:lvl w:ilvl="7" w:tplc="7C8C62EC" w:tentative="1">
      <w:start w:val="1"/>
      <w:numFmt w:val="bullet"/>
      <w:lvlText w:val=""/>
      <w:lvlJc w:val="left"/>
      <w:pPr>
        <w:tabs>
          <w:tab w:val="num" w:pos="5400"/>
        </w:tabs>
        <w:ind w:left="5400" w:hanging="360"/>
      </w:pPr>
      <w:rPr>
        <w:rFonts w:ascii="Wingdings" w:hAnsi="Wingdings" w:hint="default"/>
      </w:rPr>
    </w:lvl>
    <w:lvl w:ilvl="8" w:tplc="4F0872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1D7C38"/>
    <w:multiLevelType w:val="hybridMultilevel"/>
    <w:tmpl w:val="8D5A29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34880"/>
    <w:multiLevelType w:val="hybridMultilevel"/>
    <w:tmpl w:val="1466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7119C"/>
    <w:multiLevelType w:val="hybridMultilevel"/>
    <w:tmpl w:val="1040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4303C"/>
    <w:multiLevelType w:val="hybridMultilevel"/>
    <w:tmpl w:val="6ECE4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17B"/>
    <w:multiLevelType w:val="hybridMultilevel"/>
    <w:tmpl w:val="2C9249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2420"/>
    <w:multiLevelType w:val="hybridMultilevel"/>
    <w:tmpl w:val="6908D0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BACC87C" w:tentative="1">
      <w:start w:val="1"/>
      <w:numFmt w:val="bullet"/>
      <w:lvlText w:val=""/>
      <w:lvlJc w:val="left"/>
      <w:pPr>
        <w:tabs>
          <w:tab w:val="num" w:pos="2160"/>
        </w:tabs>
        <w:ind w:left="2160" w:hanging="360"/>
      </w:pPr>
      <w:rPr>
        <w:rFonts w:ascii="Wingdings" w:hAnsi="Wingdings" w:hint="default"/>
      </w:rPr>
    </w:lvl>
    <w:lvl w:ilvl="3" w:tplc="C762A378" w:tentative="1">
      <w:start w:val="1"/>
      <w:numFmt w:val="bullet"/>
      <w:lvlText w:val=""/>
      <w:lvlJc w:val="left"/>
      <w:pPr>
        <w:tabs>
          <w:tab w:val="num" w:pos="2880"/>
        </w:tabs>
        <w:ind w:left="2880" w:hanging="360"/>
      </w:pPr>
      <w:rPr>
        <w:rFonts w:ascii="Wingdings" w:hAnsi="Wingdings" w:hint="default"/>
      </w:rPr>
    </w:lvl>
    <w:lvl w:ilvl="4" w:tplc="A0486C4C" w:tentative="1">
      <w:start w:val="1"/>
      <w:numFmt w:val="bullet"/>
      <w:lvlText w:val=""/>
      <w:lvlJc w:val="left"/>
      <w:pPr>
        <w:tabs>
          <w:tab w:val="num" w:pos="3600"/>
        </w:tabs>
        <w:ind w:left="3600" w:hanging="360"/>
      </w:pPr>
      <w:rPr>
        <w:rFonts w:ascii="Wingdings" w:hAnsi="Wingdings" w:hint="default"/>
      </w:rPr>
    </w:lvl>
    <w:lvl w:ilvl="5" w:tplc="017C62E4" w:tentative="1">
      <w:start w:val="1"/>
      <w:numFmt w:val="bullet"/>
      <w:lvlText w:val=""/>
      <w:lvlJc w:val="left"/>
      <w:pPr>
        <w:tabs>
          <w:tab w:val="num" w:pos="4320"/>
        </w:tabs>
        <w:ind w:left="4320" w:hanging="360"/>
      </w:pPr>
      <w:rPr>
        <w:rFonts w:ascii="Wingdings" w:hAnsi="Wingdings" w:hint="default"/>
      </w:rPr>
    </w:lvl>
    <w:lvl w:ilvl="6" w:tplc="1ABE2BBE" w:tentative="1">
      <w:start w:val="1"/>
      <w:numFmt w:val="bullet"/>
      <w:lvlText w:val=""/>
      <w:lvlJc w:val="left"/>
      <w:pPr>
        <w:tabs>
          <w:tab w:val="num" w:pos="5040"/>
        </w:tabs>
        <w:ind w:left="5040" w:hanging="360"/>
      </w:pPr>
      <w:rPr>
        <w:rFonts w:ascii="Wingdings" w:hAnsi="Wingdings" w:hint="default"/>
      </w:rPr>
    </w:lvl>
    <w:lvl w:ilvl="7" w:tplc="8ACE6B4E" w:tentative="1">
      <w:start w:val="1"/>
      <w:numFmt w:val="bullet"/>
      <w:lvlText w:val=""/>
      <w:lvlJc w:val="left"/>
      <w:pPr>
        <w:tabs>
          <w:tab w:val="num" w:pos="5760"/>
        </w:tabs>
        <w:ind w:left="5760" w:hanging="360"/>
      </w:pPr>
      <w:rPr>
        <w:rFonts w:ascii="Wingdings" w:hAnsi="Wingdings" w:hint="default"/>
      </w:rPr>
    </w:lvl>
    <w:lvl w:ilvl="8" w:tplc="1744FA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756779"/>
    <w:multiLevelType w:val="hybridMultilevel"/>
    <w:tmpl w:val="ED8C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CD4F6B"/>
    <w:multiLevelType w:val="hybridMultilevel"/>
    <w:tmpl w:val="FAEEF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258E5"/>
    <w:multiLevelType w:val="hybridMultilevel"/>
    <w:tmpl w:val="09E2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D9B"/>
    <w:multiLevelType w:val="hybridMultilevel"/>
    <w:tmpl w:val="33F0F7F2"/>
    <w:lvl w:ilvl="0" w:tplc="9D02F7C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460FE"/>
    <w:multiLevelType w:val="hybridMultilevel"/>
    <w:tmpl w:val="3110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B2CE7"/>
    <w:multiLevelType w:val="hybridMultilevel"/>
    <w:tmpl w:val="53AEC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F4241"/>
    <w:multiLevelType w:val="hybridMultilevel"/>
    <w:tmpl w:val="7AA6BC4E"/>
    <w:lvl w:ilvl="0" w:tplc="5DA84C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D087A"/>
    <w:multiLevelType w:val="hybridMultilevel"/>
    <w:tmpl w:val="F3ACD032"/>
    <w:lvl w:ilvl="0" w:tplc="81C62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7B1B98"/>
    <w:multiLevelType w:val="hybridMultilevel"/>
    <w:tmpl w:val="9A1CA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61D9A"/>
    <w:multiLevelType w:val="hybridMultilevel"/>
    <w:tmpl w:val="F5CE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82431"/>
    <w:multiLevelType w:val="hybridMultilevel"/>
    <w:tmpl w:val="9C6C8434"/>
    <w:lvl w:ilvl="0" w:tplc="4616429A">
      <w:start w:val="1"/>
      <w:numFmt w:val="bullet"/>
      <w:pStyle w:val="ListParagraph"/>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44A10"/>
    <w:multiLevelType w:val="hybridMultilevel"/>
    <w:tmpl w:val="2F1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D7070"/>
    <w:multiLevelType w:val="hybridMultilevel"/>
    <w:tmpl w:val="75CA5F38"/>
    <w:lvl w:ilvl="0" w:tplc="5DA84C10">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16C00"/>
    <w:multiLevelType w:val="hybridMultilevel"/>
    <w:tmpl w:val="F410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3999"/>
    <w:multiLevelType w:val="hybridMultilevel"/>
    <w:tmpl w:val="7AA6BC4E"/>
    <w:lvl w:ilvl="0" w:tplc="5DA84C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5"/>
  </w:num>
  <w:num w:numId="4">
    <w:abstractNumId w:val="15"/>
  </w:num>
  <w:num w:numId="5">
    <w:abstractNumId w:val="7"/>
  </w:num>
  <w:num w:numId="6">
    <w:abstractNumId w:val="14"/>
  </w:num>
  <w:num w:numId="7">
    <w:abstractNumId w:val="10"/>
  </w:num>
  <w:num w:numId="8">
    <w:abstractNumId w:val="1"/>
  </w:num>
  <w:num w:numId="9">
    <w:abstractNumId w:val="16"/>
  </w:num>
  <w:num w:numId="10">
    <w:abstractNumId w:val="11"/>
  </w:num>
  <w:num w:numId="11">
    <w:abstractNumId w:val="6"/>
  </w:num>
  <w:num w:numId="12">
    <w:abstractNumId w:val="12"/>
  </w:num>
  <w:num w:numId="13">
    <w:abstractNumId w:val="3"/>
  </w:num>
  <w:num w:numId="14">
    <w:abstractNumId w:val="21"/>
  </w:num>
  <w:num w:numId="15">
    <w:abstractNumId w:val="17"/>
  </w:num>
  <w:num w:numId="16">
    <w:abstractNumId w:val="23"/>
  </w:num>
  <w:num w:numId="17">
    <w:abstractNumId w:val="20"/>
  </w:num>
  <w:num w:numId="18">
    <w:abstractNumId w:val="2"/>
  </w:num>
  <w:num w:numId="19">
    <w:abstractNumId w:val="26"/>
  </w:num>
  <w:num w:numId="20">
    <w:abstractNumId w:val="18"/>
  </w:num>
  <w:num w:numId="21">
    <w:abstractNumId w:val="0"/>
  </w:num>
  <w:num w:numId="22">
    <w:abstractNumId w:val="24"/>
  </w:num>
  <w:num w:numId="23">
    <w:abstractNumId w:val="4"/>
  </w:num>
  <w:num w:numId="24">
    <w:abstractNumId w:val="8"/>
  </w:num>
  <w:num w:numId="25">
    <w:abstractNumId w:val="9"/>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0M7Y0NzcwMTAzMLNU0lEKTi0uzszPAykwqgUAMaDPlSwAAAA="/>
  </w:docVars>
  <w:rsids>
    <w:rsidRoot w:val="003423B5"/>
    <w:rsid w:val="00002875"/>
    <w:rsid w:val="000107E1"/>
    <w:rsid w:val="0002679F"/>
    <w:rsid w:val="000429EC"/>
    <w:rsid w:val="00080F2C"/>
    <w:rsid w:val="00085C75"/>
    <w:rsid w:val="000A0C8D"/>
    <w:rsid w:val="000C245F"/>
    <w:rsid w:val="000D05A8"/>
    <w:rsid w:val="000D67CA"/>
    <w:rsid w:val="000F76A3"/>
    <w:rsid w:val="001101C1"/>
    <w:rsid w:val="001102F4"/>
    <w:rsid w:val="0011124F"/>
    <w:rsid w:val="00122540"/>
    <w:rsid w:val="00127D23"/>
    <w:rsid w:val="00160A35"/>
    <w:rsid w:val="00165798"/>
    <w:rsid w:val="00165C46"/>
    <w:rsid w:val="001739A7"/>
    <w:rsid w:val="001749D1"/>
    <w:rsid w:val="00184015"/>
    <w:rsid w:val="001A1B27"/>
    <w:rsid w:val="001C0C4D"/>
    <w:rsid w:val="001C127B"/>
    <w:rsid w:val="001C13E0"/>
    <w:rsid w:val="001D3DF7"/>
    <w:rsid w:val="0020694F"/>
    <w:rsid w:val="00215A69"/>
    <w:rsid w:val="00217FE6"/>
    <w:rsid w:val="00220794"/>
    <w:rsid w:val="00221C8D"/>
    <w:rsid w:val="002500AC"/>
    <w:rsid w:val="00297A61"/>
    <w:rsid w:val="00297CEB"/>
    <w:rsid w:val="002B7DF1"/>
    <w:rsid w:val="002D6E71"/>
    <w:rsid w:val="002E23CC"/>
    <w:rsid w:val="00302695"/>
    <w:rsid w:val="00316747"/>
    <w:rsid w:val="003246B0"/>
    <w:rsid w:val="0033186E"/>
    <w:rsid w:val="003423B5"/>
    <w:rsid w:val="00356AA6"/>
    <w:rsid w:val="00383DE4"/>
    <w:rsid w:val="00391DE3"/>
    <w:rsid w:val="003A5895"/>
    <w:rsid w:val="003B2477"/>
    <w:rsid w:val="003D2B71"/>
    <w:rsid w:val="003D2F36"/>
    <w:rsid w:val="003D5528"/>
    <w:rsid w:val="003E5C1E"/>
    <w:rsid w:val="00414C1F"/>
    <w:rsid w:val="00420C11"/>
    <w:rsid w:val="004236A9"/>
    <w:rsid w:val="004571F5"/>
    <w:rsid w:val="004602DF"/>
    <w:rsid w:val="00487CB6"/>
    <w:rsid w:val="004B6AD8"/>
    <w:rsid w:val="004D7424"/>
    <w:rsid w:val="0053336F"/>
    <w:rsid w:val="00543FBD"/>
    <w:rsid w:val="00546207"/>
    <w:rsid w:val="005500DA"/>
    <w:rsid w:val="0055465D"/>
    <w:rsid w:val="005757C4"/>
    <w:rsid w:val="005924CD"/>
    <w:rsid w:val="00593857"/>
    <w:rsid w:val="005C44D0"/>
    <w:rsid w:val="005E78B6"/>
    <w:rsid w:val="00602858"/>
    <w:rsid w:val="00607F2C"/>
    <w:rsid w:val="0062783D"/>
    <w:rsid w:val="00634C4E"/>
    <w:rsid w:val="006556E2"/>
    <w:rsid w:val="00683CB9"/>
    <w:rsid w:val="00684E3D"/>
    <w:rsid w:val="00691478"/>
    <w:rsid w:val="006A4DC8"/>
    <w:rsid w:val="006B1297"/>
    <w:rsid w:val="006D7C2A"/>
    <w:rsid w:val="0072228D"/>
    <w:rsid w:val="00724BDB"/>
    <w:rsid w:val="0073574E"/>
    <w:rsid w:val="007378D8"/>
    <w:rsid w:val="0076410A"/>
    <w:rsid w:val="00780D2C"/>
    <w:rsid w:val="00786955"/>
    <w:rsid w:val="007A7964"/>
    <w:rsid w:val="007C7F94"/>
    <w:rsid w:val="007D08F7"/>
    <w:rsid w:val="007E102C"/>
    <w:rsid w:val="00841771"/>
    <w:rsid w:val="00847EDB"/>
    <w:rsid w:val="00857F44"/>
    <w:rsid w:val="00880696"/>
    <w:rsid w:val="00887B5B"/>
    <w:rsid w:val="00890D00"/>
    <w:rsid w:val="008957FB"/>
    <w:rsid w:val="008B3978"/>
    <w:rsid w:val="008C126E"/>
    <w:rsid w:val="008E1143"/>
    <w:rsid w:val="008E209B"/>
    <w:rsid w:val="00904376"/>
    <w:rsid w:val="00904B5E"/>
    <w:rsid w:val="0091380F"/>
    <w:rsid w:val="00933D3A"/>
    <w:rsid w:val="009903F4"/>
    <w:rsid w:val="009A152D"/>
    <w:rsid w:val="009B7917"/>
    <w:rsid w:val="009D0DF4"/>
    <w:rsid w:val="009D31A2"/>
    <w:rsid w:val="009D6E15"/>
    <w:rsid w:val="009F6297"/>
    <w:rsid w:val="00A072B3"/>
    <w:rsid w:val="00A16996"/>
    <w:rsid w:val="00A254E7"/>
    <w:rsid w:val="00A261CE"/>
    <w:rsid w:val="00A346BA"/>
    <w:rsid w:val="00A42934"/>
    <w:rsid w:val="00A6741B"/>
    <w:rsid w:val="00A904B1"/>
    <w:rsid w:val="00AC097E"/>
    <w:rsid w:val="00AD40F8"/>
    <w:rsid w:val="00AD4475"/>
    <w:rsid w:val="00AF246B"/>
    <w:rsid w:val="00AF5217"/>
    <w:rsid w:val="00B642DA"/>
    <w:rsid w:val="00B80290"/>
    <w:rsid w:val="00B93632"/>
    <w:rsid w:val="00BC0897"/>
    <w:rsid w:val="00BC2488"/>
    <w:rsid w:val="00BF6141"/>
    <w:rsid w:val="00C04AB3"/>
    <w:rsid w:val="00C13256"/>
    <w:rsid w:val="00C3080E"/>
    <w:rsid w:val="00C34E62"/>
    <w:rsid w:val="00C90ECE"/>
    <w:rsid w:val="00CB0785"/>
    <w:rsid w:val="00CB4716"/>
    <w:rsid w:val="00CC4AF1"/>
    <w:rsid w:val="00CC544E"/>
    <w:rsid w:val="00CD7631"/>
    <w:rsid w:val="00CE278C"/>
    <w:rsid w:val="00CF30D1"/>
    <w:rsid w:val="00CF404E"/>
    <w:rsid w:val="00CF6656"/>
    <w:rsid w:val="00CF701B"/>
    <w:rsid w:val="00D02A42"/>
    <w:rsid w:val="00D0393F"/>
    <w:rsid w:val="00D03A9F"/>
    <w:rsid w:val="00D15D96"/>
    <w:rsid w:val="00D60DBC"/>
    <w:rsid w:val="00D61420"/>
    <w:rsid w:val="00D72FFD"/>
    <w:rsid w:val="00D7479D"/>
    <w:rsid w:val="00D95FA3"/>
    <w:rsid w:val="00DA2AE3"/>
    <w:rsid w:val="00DB2297"/>
    <w:rsid w:val="00DB4570"/>
    <w:rsid w:val="00DB4F9E"/>
    <w:rsid w:val="00DC636A"/>
    <w:rsid w:val="00DD3142"/>
    <w:rsid w:val="00DE1282"/>
    <w:rsid w:val="00E272CF"/>
    <w:rsid w:val="00E30EE2"/>
    <w:rsid w:val="00E345F2"/>
    <w:rsid w:val="00E44AD7"/>
    <w:rsid w:val="00E45534"/>
    <w:rsid w:val="00E56C79"/>
    <w:rsid w:val="00E606EA"/>
    <w:rsid w:val="00E72E5C"/>
    <w:rsid w:val="00E80CAE"/>
    <w:rsid w:val="00EA48AA"/>
    <w:rsid w:val="00EB2574"/>
    <w:rsid w:val="00EF3AD3"/>
    <w:rsid w:val="00F133DE"/>
    <w:rsid w:val="00F263D5"/>
    <w:rsid w:val="00F35463"/>
    <w:rsid w:val="00F44BC7"/>
    <w:rsid w:val="00F74E8C"/>
    <w:rsid w:val="00F75599"/>
    <w:rsid w:val="00F7668A"/>
    <w:rsid w:val="00F87DFE"/>
    <w:rsid w:val="00F87F48"/>
    <w:rsid w:val="00FB3FEE"/>
    <w:rsid w:val="00FB7D56"/>
    <w:rsid w:val="00FD0BC7"/>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571E9"/>
  <w15:chartTrackingRefBased/>
  <w15:docId w15:val="{D532167B-55E4-4ABB-B25A-0A53B7F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1101C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1101C1"/>
    <w:rPr>
      <w:rFonts w:eastAsia="Times New Roman"/>
    </w:rPr>
  </w:style>
  <w:style w:type="character" w:styleId="FootnoteReference">
    <w:name w:val="footnote reference"/>
    <w:uiPriority w:val="99"/>
    <w:unhideWhenUsed/>
    <w:rsid w:val="001101C1"/>
    <w:rPr>
      <w:vertAlign w:val="superscript"/>
    </w:rPr>
  </w:style>
  <w:style w:type="paragraph" w:styleId="NoSpacing">
    <w:name w:val="No Spacing"/>
    <w:uiPriority w:val="1"/>
    <w:qFormat/>
    <w:rsid w:val="00E45534"/>
    <w:rPr>
      <w:rFonts w:ascii="Calibri" w:eastAsia="Calibri" w:hAnsi="Calibri"/>
      <w:sz w:val="24"/>
      <w:szCs w:val="22"/>
    </w:rPr>
  </w:style>
  <w:style w:type="paragraph" w:styleId="Revision">
    <w:name w:val="Revision"/>
    <w:hidden/>
    <w:uiPriority w:val="99"/>
    <w:semiHidden/>
    <w:rsid w:val="00607F2C"/>
    <w:rPr>
      <w:rFonts w:asciiTheme="minorHAnsi" w:hAnsiTheme="minorHAnsi"/>
      <w:sz w:val="24"/>
      <w:szCs w:val="24"/>
    </w:rPr>
  </w:style>
  <w:style w:type="character" w:styleId="UnresolvedMention">
    <w:name w:val="Unresolved Mention"/>
    <w:basedOn w:val="DefaultParagraphFont"/>
    <w:uiPriority w:val="99"/>
    <w:semiHidden/>
    <w:unhideWhenUsed/>
    <w:rsid w:val="0016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3896">
      <w:bodyDiv w:val="1"/>
      <w:marLeft w:val="0"/>
      <w:marRight w:val="0"/>
      <w:marTop w:val="0"/>
      <w:marBottom w:val="0"/>
      <w:divBdr>
        <w:top w:val="none" w:sz="0" w:space="0" w:color="auto"/>
        <w:left w:val="none" w:sz="0" w:space="0" w:color="auto"/>
        <w:bottom w:val="none" w:sz="0" w:space="0" w:color="auto"/>
        <w:right w:val="none" w:sz="0" w:space="0" w:color="auto"/>
      </w:divBdr>
    </w:div>
    <w:div w:id="13134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arworks.samhsa.gov/directory" TargetMode="External"/><Relationship Id="rId18" Type="http://schemas.openxmlformats.org/officeDocument/2006/relationships/hyperlink" Target="https://soarworks.samhsa.gov/sites/soarworks.prainc.com/files/Getting_Involved_with_SOAR-Adult-and_Child.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oarworks.samhsa.gov/article/prehearing-otr-reviews" TargetMode="External"/><Relationship Id="rId17" Type="http://schemas.openxmlformats.org/officeDocument/2006/relationships/hyperlink" Target="https://soarworks.samhsa.gov/sites/soarworks.prainc.com/files/SOAR2020Outcomes.pdf" TargetMode="External"/><Relationship Id="rId2" Type="http://schemas.openxmlformats.org/officeDocument/2006/relationships/customXml" Target="../customXml/item2.xml"/><Relationship Id="rId16" Type="http://schemas.openxmlformats.org/officeDocument/2006/relationships/hyperlink" Target="https://soarworks.samhsa.gov/sites/soarworks.prainc.com/files/SOAROverview-2020-508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a.gov/OP_Home/hallex/I-02/I-2-1-40.html" TargetMode="External"/><Relationship Id="rId5" Type="http://schemas.openxmlformats.org/officeDocument/2006/relationships/numbering" Target="numbering.xml"/><Relationship Id="rId15" Type="http://schemas.openxmlformats.org/officeDocument/2006/relationships/hyperlink" Target="https://www.ssa.gov/locato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sa.gov/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a.gov/appeals/ho_locator.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sa.gov/budget/FY19Files/2019APR.pdf" TargetMode="External"/><Relationship Id="rId2" Type="http://schemas.openxmlformats.org/officeDocument/2006/relationships/hyperlink" Target="https://www.ssa.gov/OP_Home/hallex/I-02/I-2-1-40.html" TargetMode="External"/><Relationship Id="rId1" Type="http://schemas.openxmlformats.org/officeDocument/2006/relationships/hyperlink" Target="https://oig.ssa.gov/top-ssa-management-issu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64F6C-D384-49C8-A985-7E44A63BEED9}">
  <ds:schemaRefs>
    <ds:schemaRef ds:uri="http://schemas.microsoft.com/sharepoint/v3/contenttype/forms"/>
  </ds:schemaRefs>
</ds:datastoreItem>
</file>

<file path=customXml/itemProps2.xml><?xml version="1.0" encoding="utf-8"?>
<ds:datastoreItem xmlns:ds="http://schemas.openxmlformats.org/officeDocument/2006/customXml" ds:itemID="{18B38A0B-C540-4D91-A27E-C768BFECB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2B2F4-7FC1-49A7-BD15-FA99C3DA4448}">
  <ds:schemaRefs>
    <ds:schemaRef ds:uri="http://schemas.openxmlformats.org/officeDocument/2006/bibliography"/>
  </ds:schemaRefs>
</ds:datastoreItem>
</file>

<file path=customXml/itemProps4.xml><?xml version="1.0" encoding="utf-8"?>
<ds:datastoreItem xmlns:ds="http://schemas.openxmlformats.org/officeDocument/2006/customXml" ds:itemID="{2A780469-8FCF-4230-941A-A69739B5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ssodergren</dc:creator>
  <cp:keywords/>
  <dc:description/>
  <cp:lastModifiedBy>Suzy Sodergren</cp:lastModifiedBy>
  <cp:revision>5</cp:revision>
  <dcterms:created xsi:type="dcterms:W3CDTF">2021-10-06T13:29:00Z</dcterms:created>
  <dcterms:modified xsi:type="dcterms:W3CDTF">2021-10-06T14:07:00Z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