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8B57A" w14:textId="65085BF9" w:rsidR="00E45534" w:rsidRPr="00E45534" w:rsidRDefault="00F7668A" w:rsidP="00E45534">
      <w:pPr>
        <w:pStyle w:val="Title"/>
      </w:pPr>
      <w:r>
        <w:t>Getting Involved with SOAR</w:t>
      </w:r>
    </w:p>
    <w:p w14:paraId="4D86ECC0" w14:textId="34FAD4D4" w:rsidR="00E45534" w:rsidRDefault="00E45534" w:rsidP="004602DF">
      <w:pPr>
        <w:pStyle w:val="Subtitle"/>
        <w:spacing w:after="240"/>
        <w:rPr>
          <w:i/>
        </w:rPr>
      </w:pPr>
      <w:r w:rsidRPr="00E45534">
        <w:rPr>
          <w:i/>
        </w:rPr>
        <w:t xml:space="preserve">You want to </w:t>
      </w:r>
      <w:r w:rsidR="00F7668A">
        <w:rPr>
          <w:i/>
        </w:rPr>
        <w:t>be a SOAR provider</w:t>
      </w:r>
      <w:r w:rsidR="009A152D">
        <w:rPr>
          <w:i/>
        </w:rPr>
        <w:t>?</w:t>
      </w:r>
      <w:r w:rsidR="00EF3AD3">
        <w:rPr>
          <w:i/>
        </w:rPr>
        <w:t xml:space="preserve"> </w:t>
      </w:r>
      <w:r w:rsidR="009A152D">
        <w:rPr>
          <w:i/>
        </w:rPr>
        <w:t>T</w:t>
      </w:r>
      <w:r w:rsidRPr="00E45534">
        <w:rPr>
          <w:i/>
        </w:rPr>
        <w:t>hat’s great! Here’s what to expect.</w:t>
      </w:r>
    </w:p>
    <w:p w14:paraId="4C355D16" w14:textId="77777777" w:rsidR="004602DF" w:rsidRPr="004602DF" w:rsidRDefault="004602DF" w:rsidP="004602DF">
      <w:r w:rsidRPr="00874D2E">
        <w:rPr>
          <w:b/>
          <w:noProof/>
        </w:rPr>
        <mc:AlternateContent>
          <mc:Choice Requires="wps">
            <w:drawing>
              <wp:inline distT="0" distB="0" distL="0" distR="0" wp14:anchorId="14DFA3C6" wp14:editId="629AA8E9">
                <wp:extent cx="6400800" cy="817228"/>
                <wp:effectExtent l="0" t="0" r="19050" b="2794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17228"/>
                        </a:xfrm>
                        <a:prstGeom prst="rect">
                          <a:avLst/>
                        </a:prstGeom>
                        <a:solidFill>
                          <a:srgbClr val="F2F7FC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98AF0" w14:textId="07FFF747" w:rsidR="004602DF" w:rsidRPr="00961D14" w:rsidRDefault="004602DF" w:rsidP="004602DF">
                            <w:r w:rsidRPr="00571903">
                              <w:t xml:space="preserve">SOAR </w:t>
                            </w:r>
                            <w:r w:rsidR="00FB7D56">
                              <w:t xml:space="preserve">promotes recovery and wellness </w:t>
                            </w:r>
                            <w:r w:rsidR="000C245F">
                              <w:t xml:space="preserve">through </w:t>
                            </w:r>
                            <w:r w:rsidRPr="004602DF">
                              <w:t>increase</w:t>
                            </w:r>
                            <w:r w:rsidR="000C245F">
                              <w:t>d</w:t>
                            </w:r>
                            <w:r w:rsidRPr="004602DF">
                              <w:t xml:space="preserve"> access </w:t>
                            </w:r>
                            <w:r w:rsidR="00FC04BA">
                              <w:t>to Social Security disability benefits</w:t>
                            </w:r>
                            <w:r w:rsidRPr="004602DF">
                              <w:t xml:space="preserve"> for eligible </w:t>
                            </w:r>
                            <w:r w:rsidR="00FC04BA">
                              <w:t xml:space="preserve">individuals </w:t>
                            </w:r>
                            <w:r w:rsidRPr="004602DF">
                              <w:t>who are experiencing or at risk of homelessness and have a serious mental illness, medical impairment, and/or a co-occurring substance use disorder.</w:t>
                            </w:r>
                            <w:r w:rsidRPr="00571903">
                              <w:t xml:space="preserve"> </w:t>
                            </w:r>
                            <w:r w:rsidR="00B80290">
                              <w:t xml:space="preserve">SOAR providers assist individuals with complete and quality applications. </w:t>
                            </w:r>
                            <w:r w:rsidR="00D72FFD">
                              <w:t>This is not an easy task, and w</w:t>
                            </w:r>
                            <w:r w:rsidRPr="00571903">
                              <w:t xml:space="preserve">e want to be sure that you understand the </w:t>
                            </w:r>
                            <w:r w:rsidR="00D72FFD">
                              <w:t xml:space="preserve">commitment required – </w:t>
                            </w:r>
                            <w:r w:rsidR="00E345F2">
                              <w:t xml:space="preserve">we believe </w:t>
                            </w:r>
                            <w:r w:rsidR="00F7668A">
                              <w:t>it is well worth the effort!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type w14:anchorId="14DFA3C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7in;height:6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" fillcolor="#f2f7fc" strokecolor="#5b9bd5 [3204]" strokeweight="1pt">
                <v:textbox style="mso-fit-shape-to-text:t">
                  <w:txbxContent>
                    <w:p w14:paraId="1E898AF0" w14:textId="07FFF747" w:rsidR="004602DF" w:rsidRPr="00961D14" w:rsidRDefault="004602DF" w:rsidP="004602DF">
                      <w:r w:rsidRPr="00571903">
                        <w:t xml:space="preserve">SOAR </w:t>
                      </w:r>
                      <w:r w:rsidR="00FB7D56">
                        <w:t xml:space="preserve">promotes recovery and wellness </w:t>
                      </w:r>
                      <w:r w:rsidR="000C245F">
                        <w:t xml:space="preserve">through </w:t>
                      </w:r>
                      <w:r w:rsidRPr="004602DF">
                        <w:t>increase</w:t>
                      </w:r>
                      <w:r w:rsidR="000C245F">
                        <w:t>d</w:t>
                      </w:r>
                      <w:r w:rsidRPr="004602DF">
                        <w:t xml:space="preserve"> access </w:t>
                      </w:r>
                      <w:r w:rsidR="00FC04BA">
                        <w:t>to Social Security disability benefits</w:t>
                      </w:r>
                      <w:r w:rsidRPr="004602DF">
                        <w:t xml:space="preserve"> for eligible </w:t>
                      </w:r>
                      <w:r w:rsidR="00FC04BA">
                        <w:t xml:space="preserve">individuals </w:t>
                      </w:r>
                      <w:r w:rsidRPr="004602DF">
                        <w:t>who are experiencing or at risk of homelessness and have a serious mental illness, medical impairment, and/or a co-occurring substance use disorder.</w:t>
                      </w:r>
                      <w:r w:rsidRPr="00571903">
                        <w:t xml:space="preserve"> </w:t>
                      </w:r>
                      <w:r w:rsidR="00B80290">
                        <w:t xml:space="preserve">SOAR providers assist individuals with complete and quality applications. </w:t>
                      </w:r>
                      <w:r w:rsidR="00D72FFD">
                        <w:t>This is not an easy task, and w</w:t>
                      </w:r>
                      <w:r w:rsidRPr="00571903">
                        <w:t xml:space="preserve">e want to be sure that you understand the </w:t>
                      </w:r>
                      <w:r w:rsidR="00D72FFD">
                        <w:t xml:space="preserve">commitment required – </w:t>
                      </w:r>
                      <w:r w:rsidR="00E345F2">
                        <w:t xml:space="preserve">we believe </w:t>
                      </w:r>
                      <w:r w:rsidR="00F7668A">
                        <w:t>it is well worth the effort!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40FEF1" w14:textId="77777777" w:rsidR="001101C1" w:rsidRDefault="00E45534" w:rsidP="00EF3AD3">
      <w:pPr>
        <w:pStyle w:val="Heading1"/>
      </w:pPr>
      <w:r>
        <w:t>Training</w:t>
      </w:r>
    </w:p>
    <w:p w14:paraId="7681373E" w14:textId="3D4FFF68" w:rsidR="00E45534" w:rsidRPr="00E719C9" w:rsidRDefault="00E45534" w:rsidP="00E45534">
      <w:pPr>
        <w:rPr>
          <w:lang w:val="en"/>
        </w:rPr>
      </w:pPr>
      <w:r w:rsidRPr="00E719C9">
        <w:t>The</w:t>
      </w:r>
      <w:r w:rsidRPr="00E719C9">
        <w:rPr>
          <w:lang w:val="en"/>
        </w:rPr>
        <w:t xml:space="preserve"> SOAR Online Course trains </w:t>
      </w:r>
      <w:r w:rsidR="00D72FFD">
        <w:rPr>
          <w:lang w:val="en"/>
        </w:rPr>
        <w:t xml:space="preserve">providers </w:t>
      </w:r>
      <w:r w:rsidRPr="00E719C9">
        <w:rPr>
          <w:lang w:val="en"/>
        </w:rPr>
        <w:t xml:space="preserve">to assist individuals </w:t>
      </w:r>
      <w:r w:rsidR="00D72FFD">
        <w:rPr>
          <w:lang w:val="en"/>
        </w:rPr>
        <w:t xml:space="preserve">with the </w:t>
      </w:r>
      <w:r w:rsidR="00FC04BA">
        <w:rPr>
          <w:lang w:val="en"/>
        </w:rPr>
        <w:t>Social Security disability</w:t>
      </w:r>
      <w:r w:rsidR="00D72FFD">
        <w:rPr>
          <w:lang w:val="en"/>
        </w:rPr>
        <w:t xml:space="preserve"> application process. </w:t>
      </w:r>
      <w:r w:rsidR="00E1580C">
        <w:rPr>
          <w:lang w:val="en"/>
        </w:rPr>
        <w:t xml:space="preserve">The course includes an Adult </w:t>
      </w:r>
      <w:r w:rsidR="006847F2">
        <w:rPr>
          <w:lang w:val="en"/>
        </w:rPr>
        <w:t>Curriculum</w:t>
      </w:r>
      <w:r w:rsidR="00E1580C">
        <w:rPr>
          <w:lang w:val="en"/>
        </w:rPr>
        <w:t xml:space="preserve"> </w:t>
      </w:r>
      <w:r w:rsidR="006847F2">
        <w:rPr>
          <w:lang w:val="en"/>
        </w:rPr>
        <w:t xml:space="preserve">for assisting with Supplemental Security Income (SSI) and Social Security Disability Insurance (SSDI) claims for adults </w:t>
      </w:r>
      <w:r w:rsidR="00E1580C">
        <w:rPr>
          <w:lang w:val="en"/>
        </w:rPr>
        <w:t xml:space="preserve">and </w:t>
      </w:r>
      <w:r w:rsidR="006847F2">
        <w:rPr>
          <w:lang w:val="en"/>
        </w:rPr>
        <w:t xml:space="preserve">a </w:t>
      </w:r>
      <w:r w:rsidR="00E1580C">
        <w:rPr>
          <w:lang w:val="en"/>
        </w:rPr>
        <w:t xml:space="preserve">Child </w:t>
      </w:r>
      <w:r w:rsidR="006847F2">
        <w:rPr>
          <w:lang w:val="en"/>
        </w:rPr>
        <w:t>Curriculum for assisting with SSI claims for children</w:t>
      </w:r>
      <w:r w:rsidR="00E1580C">
        <w:rPr>
          <w:lang w:val="en"/>
        </w:rPr>
        <w:t>.</w:t>
      </w:r>
      <w:r w:rsidR="006847F2">
        <w:rPr>
          <w:lang w:val="en"/>
        </w:rPr>
        <w:t xml:space="preserve"> </w:t>
      </w:r>
    </w:p>
    <w:p w14:paraId="5631419B" w14:textId="6EBBCEFB" w:rsidR="00E45534" w:rsidRPr="00E719C9" w:rsidRDefault="00E45534" w:rsidP="00E45534">
      <w:pPr>
        <w:pStyle w:val="ListParagraph"/>
      </w:pPr>
      <w:r w:rsidRPr="00E719C9">
        <w:rPr>
          <w:lang w:val="en"/>
        </w:rPr>
        <w:t xml:space="preserve">The </w:t>
      </w:r>
      <w:r w:rsidR="00D26448">
        <w:rPr>
          <w:lang w:val="en"/>
        </w:rPr>
        <w:t>SOAR Online Course: Adult and Child C</w:t>
      </w:r>
      <w:r w:rsidR="006847F2">
        <w:rPr>
          <w:lang w:val="en"/>
        </w:rPr>
        <w:t>urriculums are</w:t>
      </w:r>
      <w:r w:rsidRPr="00E719C9">
        <w:rPr>
          <w:lang w:val="en"/>
        </w:rPr>
        <w:t xml:space="preserve"> free an</w:t>
      </w:r>
      <w:r w:rsidR="006847F2">
        <w:rPr>
          <w:lang w:val="en"/>
        </w:rPr>
        <w:t>d are</w:t>
      </w:r>
      <w:r w:rsidRPr="00E719C9">
        <w:rPr>
          <w:lang w:val="en"/>
        </w:rPr>
        <w:t xml:space="preserve"> located on the </w:t>
      </w:r>
      <w:proofErr w:type="spellStart"/>
      <w:r w:rsidRPr="00E719C9">
        <w:rPr>
          <w:lang w:val="en"/>
        </w:rPr>
        <w:t>SOARWorks</w:t>
      </w:r>
      <w:proofErr w:type="spellEnd"/>
      <w:r w:rsidRPr="00E719C9">
        <w:rPr>
          <w:lang w:val="en"/>
        </w:rPr>
        <w:t xml:space="preserve"> website (</w:t>
      </w:r>
      <w:hyperlink r:id="rId11" w:history="1">
        <w:r w:rsidR="003757D6">
          <w:rPr>
            <w:rStyle w:val="Hyperlink"/>
            <w:lang w:val="en"/>
          </w:rPr>
          <w:t>https://soarworks.samhsa.gov/content/soar-online-course-catalog</w:t>
        </w:r>
      </w:hyperlink>
      <w:r w:rsidRPr="00E719C9">
        <w:rPr>
          <w:lang w:val="en"/>
        </w:rPr>
        <w:t>).</w:t>
      </w:r>
    </w:p>
    <w:p w14:paraId="3AAEA95B" w14:textId="12848B92" w:rsidR="00E45534" w:rsidRPr="00E719C9" w:rsidRDefault="006847F2" w:rsidP="00E45534">
      <w:pPr>
        <w:pStyle w:val="ListParagraph"/>
      </w:pPr>
      <w:r>
        <w:rPr>
          <w:iCs/>
        </w:rPr>
        <w:t xml:space="preserve">Each </w:t>
      </w:r>
      <w:r w:rsidR="00D26448">
        <w:rPr>
          <w:iCs/>
        </w:rPr>
        <w:t>curriculum</w:t>
      </w:r>
      <w:r w:rsidR="00E45534" w:rsidRPr="00E719C9">
        <w:rPr>
          <w:iCs/>
        </w:rPr>
        <w:t xml:space="preserve"> consists of seven classes, each of which has a series of articles, short quizzes, and a practice case component. The practice case provides an opportunity for </w:t>
      </w:r>
      <w:r w:rsidR="00F87DFE">
        <w:rPr>
          <w:iCs/>
        </w:rPr>
        <w:t>trainees</w:t>
      </w:r>
      <w:r w:rsidR="00E45534" w:rsidRPr="00E719C9">
        <w:rPr>
          <w:iCs/>
        </w:rPr>
        <w:t xml:space="preserve"> to apply what they have learned </w:t>
      </w:r>
      <w:r w:rsidR="00F87DFE">
        <w:rPr>
          <w:iCs/>
        </w:rPr>
        <w:t xml:space="preserve">in the course </w:t>
      </w:r>
      <w:r w:rsidR="00E45534" w:rsidRPr="00E719C9">
        <w:rPr>
          <w:iCs/>
        </w:rPr>
        <w:t>by completing a sample application packet for a fictitious applicant using SOAR techniques.</w:t>
      </w:r>
    </w:p>
    <w:p w14:paraId="59A3DDED" w14:textId="308D806B" w:rsidR="00E45534" w:rsidRPr="00E719C9" w:rsidRDefault="00A16996" w:rsidP="00E45534">
      <w:pPr>
        <w:pStyle w:val="ListParagraph"/>
      </w:pPr>
      <w:r>
        <w:rPr>
          <w:lang w:val="en"/>
        </w:rPr>
        <w:t xml:space="preserve">It takes approximately </w:t>
      </w:r>
      <w:r w:rsidR="00E45534" w:rsidRPr="00E719C9">
        <w:rPr>
          <w:lang w:val="en"/>
        </w:rPr>
        <w:t xml:space="preserve">20 hours to complete </w:t>
      </w:r>
      <w:r w:rsidR="006847F2">
        <w:rPr>
          <w:lang w:val="en"/>
        </w:rPr>
        <w:t>each curriculum</w:t>
      </w:r>
      <w:r w:rsidR="00E45534" w:rsidRPr="00E719C9">
        <w:rPr>
          <w:lang w:val="en"/>
        </w:rPr>
        <w:t xml:space="preserve"> and participants can work at their own pace, starting and stopping as they wish. However, we encourage students to complete the c</w:t>
      </w:r>
      <w:r w:rsidR="006847F2">
        <w:rPr>
          <w:lang w:val="en"/>
        </w:rPr>
        <w:t>urriculum</w:t>
      </w:r>
      <w:r w:rsidR="00E45534" w:rsidRPr="00E719C9">
        <w:rPr>
          <w:lang w:val="en"/>
        </w:rPr>
        <w:t xml:space="preserve"> within 30 days to retain the information learned.</w:t>
      </w:r>
    </w:p>
    <w:p w14:paraId="7E85AD14" w14:textId="77777777" w:rsidR="00E45534" w:rsidRPr="00E719C9" w:rsidRDefault="00E45534" w:rsidP="00E45534">
      <w:pPr>
        <w:pStyle w:val="ListParagraph"/>
      </w:pPr>
      <w:r w:rsidRPr="00E719C9">
        <w:rPr>
          <w:lang w:val="en"/>
        </w:rPr>
        <w:t xml:space="preserve">Upon successful completion, participants will </w:t>
      </w:r>
      <w:r w:rsidR="00A16996">
        <w:rPr>
          <w:lang w:val="en"/>
        </w:rPr>
        <w:t>receive 20</w:t>
      </w:r>
      <w:r w:rsidRPr="00E719C9">
        <w:rPr>
          <w:lang w:val="en"/>
        </w:rPr>
        <w:t xml:space="preserve"> CEUs (continuing education units) from the National Association of Social Workers (NASW).</w:t>
      </w:r>
    </w:p>
    <w:p w14:paraId="694DCC41" w14:textId="3280BED1" w:rsidR="00E45534" w:rsidRPr="009A152D" w:rsidRDefault="00E45534" w:rsidP="00E45534">
      <w:pPr>
        <w:rPr>
          <w:lang w:val="en"/>
        </w:rPr>
      </w:pPr>
      <w:r w:rsidRPr="00E719C9">
        <w:rPr>
          <w:lang w:val="en"/>
        </w:rPr>
        <w:t xml:space="preserve">Many SOAR </w:t>
      </w:r>
      <w:r w:rsidR="00F35463">
        <w:rPr>
          <w:lang w:val="en"/>
        </w:rPr>
        <w:t xml:space="preserve">Local Leads offer one-day SOAR Online Course Review Sessions </w:t>
      </w:r>
      <w:r w:rsidRPr="00E719C9">
        <w:rPr>
          <w:lang w:val="en"/>
        </w:rPr>
        <w:t>to review key components of the c</w:t>
      </w:r>
      <w:r w:rsidR="00D26448">
        <w:rPr>
          <w:lang w:val="en"/>
        </w:rPr>
        <w:t>urriculum</w:t>
      </w:r>
      <w:r w:rsidRPr="00E719C9">
        <w:rPr>
          <w:lang w:val="en"/>
        </w:rPr>
        <w:t>, discuss local/state practices</w:t>
      </w:r>
      <w:r w:rsidR="00F87DFE">
        <w:rPr>
          <w:lang w:val="en"/>
        </w:rPr>
        <w:t>,</w:t>
      </w:r>
      <w:r w:rsidRPr="00E719C9">
        <w:rPr>
          <w:lang w:val="en"/>
        </w:rPr>
        <w:t xml:space="preserve"> and connect new providers to local </w:t>
      </w:r>
      <w:r w:rsidR="00C13256">
        <w:rPr>
          <w:lang w:val="en"/>
        </w:rPr>
        <w:t xml:space="preserve">Social </w:t>
      </w:r>
      <w:r w:rsidR="00DA2AE3">
        <w:rPr>
          <w:lang w:val="en"/>
        </w:rPr>
        <w:t>Security</w:t>
      </w:r>
      <w:r w:rsidR="00C13256">
        <w:rPr>
          <w:lang w:val="en"/>
        </w:rPr>
        <w:t xml:space="preserve"> </w:t>
      </w:r>
      <w:r w:rsidR="00DA2AE3">
        <w:rPr>
          <w:lang w:val="en"/>
        </w:rPr>
        <w:t>Administration</w:t>
      </w:r>
      <w:r w:rsidR="00C13256">
        <w:rPr>
          <w:lang w:val="en"/>
        </w:rPr>
        <w:t xml:space="preserve"> (</w:t>
      </w:r>
      <w:r w:rsidRPr="00E719C9">
        <w:rPr>
          <w:lang w:val="en"/>
        </w:rPr>
        <w:t>SSA</w:t>
      </w:r>
      <w:r w:rsidR="00C13256">
        <w:rPr>
          <w:lang w:val="en"/>
        </w:rPr>
        <w:t>)</w:t>
      </w:r>
      <w:r w:rsidRPr="00E719C9">
        <w:rPr>
          <w:lang w:val="en"/>
        </w:rPr>
        <w:t xml:space="preserve"> and DDS (Disability Determination Services) offices.</w:t>
      </w:r>
    </w:p>
    <w:p w14:paraId="68A1BA58" w14:textId="77777777" w:rsidR="00E45534" w:rsidRPr="00E719C9" w:rsidRDefault="00E45534" w:rsidP="00E45534">
      <w:pPr>
        <w:pStyle w:val="Heading1"/>
      </w:pPr>
      <w:r w:rsidRPr="00E719C9">
        <w:t>Time Commitment</w:t>
      </w:r>
    </w:p>
    <w:p w14:paraId="1F76AEEB" w14:textId="77777777" w:rsidR="00E45534" w:rsidRPr="00E719C9" w:rsidRDefault="00CF701B" w:rsidP="00E45534">
      <w:r>
        <w:t>We</w:t>
      </w:r>
      <w:r w:rsidR="00E45534" w:rsidRPr="00E719C9">
        <w:t xml:space="preserve"> estimate that each SOAR application will take approximately 20</w:t>
      </w:r>
      <w:r>
        <w:t>-</w:t>
      </w:r>
      <w:r w:rsidR="00E45534" w:rsidRPr="00E719C9">
        <w:t xml:space="preserve">40 hours </w:t>
      </w:r>
      <w:r>
        <w:t xml:space="preserve">to complete, </w:t>
      </w:r>
      <w:r w:rsidR="00E45534" w:rsidRPr="00E719C9">
        <w:t>from initial engag</w:t>
      </w:r>
      <w:r w:rsidR="0033186E">
        <w:t>e</w:t>
      </w:r>
      <w:r w:rsidR="00E45534" w:rsidRPr="00E719C9">
        <w:t xml:space="preserve">ment to receiving a decision on a claim. This generally occurs over the course of 60-90 days.    </w:t>
      </w:r>
    </w:p>
    <w:p w14:paraId="272124E5" w14:textId="42129B55" w:rsidR="00E45534" w:rsidRPr="009A152D" w:rsidRDefault="00E45534" w:rsidP="009A152D">
      <w:pPr>
        <w:pStyle w:val="ListParagraph"/>
      </w:pPr>
      <w:r w:rsidRPr="00E719C9">
        <w:t xml:space="preserve">The time </w:t>
      </w:r>
      <w:r w:rsidR="00CF701B">
        <w:t>spent on each</w:t>
      </w:r>
      <w:r w:rsidR="00302695">
        <w:t xml:space="preserve"> </w:t>
      </w:r>
      <w:r w:rsidRPr="00E719C9">
        <w:t xml:space="preserve">application will vary depending on the amount of engagement that is needed </w:t>
      </w:r>
      <w:r w:rsidR="00CF701B" w:rsidRPr="00E719C9">
        <w:t>a</w:t>
      </w:r>
      <w:r w:rsidR="00CF701B">
        <w:t>s well as</w:t>
      </w:r>
      <w:r w:rsidR="00CF701B" w:rsidRPr="00E719C9">
        <w:t xml:space="preserve"> </w:t>
      </w:r>
      <w:r w:rsidRPr="00E719C9">
        <w:t xml:space="preserve">other variables such as </w:t>
      </w:r>
      <w:r w:rsidR="00DA2AE3">
        <w:t xml:space="preserve">the experience level of </w:t>
      </w:r>
      <w:r w:rsidR="0033186E">
        <w:t>the SOAR worker</w:t>
      </w:r>
      <w:r w:rsidR="00DA2AE3">
        <w:t>.</w:t>
      </w:r>
      <w:r w:rsidR="0033186E">
        <w:t xml:space="preserve"> </w:t>
      </w:r>
      <w:r w:rsidRPr="00E719C9">
        <w:t xml:space="preserve">For example, engagement with an applicant who is </w:t>
      </w:r>
      <w:r w:rsidR="00D26448">
        <w:t xml:space="preserve">residing in an institution </w:t>
      </w:r>
      <w:r w:rsidRPr="00E719C9">
        <w:t>may take 20 hours, wh</w:t>
      </w:r>
      <w:r w:rsidR="001C13E0">
        <w:t>ile</w:t>
      </w:r>
      <w:r w:rsidRPr="00E719C9">
        <w:t xml:space="preserve"> </w:t>
      </w:r>
      <w:r w:rsidR="00CF701B">
        <w:t xml:space="preserve">it may take longer to connect with </w:t>
      </w:r>
      <w:r w:rsidRPr="00E719C9">
        <w:t>someone who is living outside or difficult to contact</w:t>
      </w:r>
      <w:r w:rsidR="00CF701B">
        <w:t>.</w:t>
      </w:r>
    </w:p>
    <w:p w14:paraId="3D912F85" w14:textId="77777777" w:rsidR="00E45534" w:rsidRPr="00E719C9" w:rsidRDefault="00E45534" w:rsidP="00E45534">
      <w:pPr>
        <w:pStyle w:val="Heading1"/>
      </w:pPr>
      <w:r w:rsidRPr="00E719C9">
        <w:t>SOAR Critical Components</w:t>
      </w:r>
    </w:p>
    <w:p w14:paraId="05D8E25A" w14:textId="0DEAEF9B" w:rsidR="00E45534" w:rsidRPr="00E719C9" w:rsidRDefault="00E45534" w:rsidP="00E45534">
      <w:r w:rsidRPr="00E719C9">
        <w:t>SOAR providers with higher approval rates credit their success to implementing the SOAR critical components</w:t>
      </w:r>
      <w:r w:rsidR="00487CB6">
        <w:rPr>
          <w:rStyle w:val="FootnoteReference"/>
        </w:rPr>
        <w:footnoteReference w:id="1"/>
      </w:r>
      <w:r w:rsidRPr="00E719C9">
        <w:t xml:space="preserve"> and </w:t>
      </w:r>
      <w:r w:rsidR="00420C11">
        <w:t>submitting</w:t>
      </w:r>
      <w:r w:rsidRPr="00E719C9">
        <w:t xml:space="preserve"> high quality applications. </w:t>
      </w:r>
      <w:r w:rsidR="00487CB6" w:rsidRPr="00487CB6">
        <w:t xml:space="preserve">Use of these components </w:t>
      </w:r>
      <w:r w:rsidR="0011124F">
        <w:t>significantly</w:t>
      </w:r>
      <w:r w:rsidR="00487CB6" w:rsidRPr="00487CB6">
        <w:t xml:space="preserve"> increases the </w:t>
      </w:r>
      <w:r w:rsidR="00487CB6" w:rsidRPr="00487CB6">
        <w:lastRenderedPageBreak/>
        <w:t xml:space="preserve">likelihood of an approval on </w:t>
      </w:r>
      <w:r w:rsidR="0011124F">
        <w:t>initial application</w:t>
      </w:r>
      <w:r w:rsidR="00487CB6" w:rsidRPr="00487CB6">
        <w:t xml:space="preserve"> for those who are eligible</w:t>
      </w:r>
      <w:r w:rsidR="004236A9">
        <w:t>.</w:t>
      </w:r>
      <w:r w:rsidR="00487CB6">
        <w:rPr>
          <w:rStyle w:val="FootnoteReference"/>
        </w:rPr>
        <w:footnoteReference w:id="2"/>
      </w:r>
      <w:r w:rsidR="00487CB6">
        <w:t xml:space="preserve"> </w:t>
      </w:r>
      <w:r w:rsidRPr="00E719C9">
        <w:t xml:space="preserve">The five SOAR critical components of application assistance are: </w:t>
      </w:r>
    </w:p>
    <w:p w14:paraId="6C7052C9" w14:textId="77777777" w:rsidR="00E45534" w:rsidRPr="00E45534" w:rsidRDefault="00E45534" w:rsidP="00E45534">
      <w:pPr>
        <w:pStyle w:val="ListParagraph"/>
      </w:pPr>
      <w:r w:rsidRPr="00E45534">
        <w:t xml:space="preserve">Serve as the applicant’s appointed representative using </w:t>
      </w:r>
      <w:r w:rsidR="001C13E0">
        <w:t xml:space="preserve">the </w:t>
      </w:r>
      <w:r w:rsidRPr="00E45534">
        <w:t>SSA</w:t>
      </w:r>
      <w:r w:rsidR="00420C11">
        <w:t>-</w:t>
      </w:r>
      <w:r w:rsidRPr="00E45534">
        <w:t>1696</w:t>
      </w:r>
      <w:r w:rsidR="00D72FFD">
        <w:t>:</w:t>
      </w:r>
      <w:r w:rsidRPr="00E45534">
        <w:t xml:space="preserve"> </w:t>
      </w:r>
      <w:r w:rsidRPr="00D72FFD">
        <w:rPr>
          <w:i/>
        </w:rPr>
        <w:t>Appointment of Representative</w:t>
      </w:r>
      <w:r w:rsidR="001C13E0" w:rsidRPr="00D72FFD">
        <w:rPr>
          <w:i/>
        </w:rPr>
        <w:t xml:space="preserve"> </w:t>
      </w:r>
      <w:r w:rsidR="001C13E0">
        <w:t>form.</w:t>
      </w:r>
    </w:p>
    <w:p w14:paraId="2C24DCC9" w14:textId="77777777" w:rsidR="00E45534" w:rsidRPr="00E45534" w:rsidRDefault="00E45534" w:rsidP="00E45534">
      <w:pPr>
        <w:pStyle w:val="ListParagraph"/>
      </w:pPr>
      <w:r w:rsidRPr="00E45534">
        <w:t>Complete all required SSA application forms online, when available</w:t>
      </w:r>
      <w:r w:rsidR="0033186E">
        <w:t>.</w:t>
      </w:r>
    </w:p>
    <w:p w14:paraId="1D36D6ED" w14:textId="77777777" w:rsidR="00E45534" w:rsidRPr="00E45534" w:rsidRDefault="00E45534" w:rsidP="00E45534">
      <w:pPr>
        <w:pStyle w:val="ListParagraph"/>
      </w:pPr>
      <w:r w:rsidRPr="00E45534">
        <w:t>Collect medical records, assessments, case management notes and collateral information.</w:t>
      </w:r>
    </w:p>
    <w:p w14:paraId="5BDFF5A6" w14:textId="77777777" w:rsidR="00E45534" w:rsidRPr="00E45534" w:rsidRDefault="00E45534" w:rsidP="00E45534">
      <w:pPr>
        <w:pStyle w:val="ListParagraph"/>
      </w:pPr>
      <w:r w:rsidRPr="00E45534">
        <w:t xml:space="preserve">Write a comprehensive Medical Summary Report that includes psychosocial, treatment, and functional information </w:t>
      </w:r>
      <w:r w:rsidR="00420C11">
        <w:t>and</w:t>
      </w:r>
      <w:r w:rsidR="00420C11" w:rsidRPr="00E45534">
        <w:t xml:space="preserve"> </w:t>
      </w:r>
      <w:r w:rsidRPr="00E45534">
        <w:t xml:space="preserve">is co-signed, when possible, by </w:t>
      </w:r>
      <w:r w:rsidR="0011124F">
        <w:t>an acceptable medical source</w:t>
      </w:r>
      <w:r w:rsidRPr="00E45534">
        <w:t>.</w:t>
      </w:r>
    </w:p>
    <w:p w14:paraId="39DFB9F2" w14:textId="77777777" w:rsidR="00E45534" w:rsidRPr="00D72FFD" w:rsidRDefault="00E45534" w:rsidP="00D72FFD">
      <w:pPr>
        <w:pStyle w:val="ListParagraph"/>
      </w:pPr>
      <w:r w:rsidRPr="00E45534">
        <w:t>Perfor</w:t>
      </w:r>
      <w:r w:rsidR="0011124F">
        <w:t>m quality review of application</w:t>
      </w:r>
      <w:r w:rsidRPr="00E45534">
        <w:t xml:space="preserve"> prior to submission. </w:t>
      </w:r>
    </w:p>
    <w:p w14:paraId="56ED4E2E" w14:textId="77777777" w:rsidR="00E45534" w:rsidRPr="00E719C9" w:rsidRDefault="00E45534" w:rsidP="00E45534">
      <w:pPr>
        <w:pStyle w:val="Heading1"/>
      </w:pPr>
      <w:r w:rsidRPr="00E719C9">
        <w:t>Follow</w:t>
      </w:r>
      <w:r w:rsidR="00F87DFE">
        <w:t xml:space="preserve"> </w:t>
      </w:r>
      <w:r w:rsidRPr="00E719C9">
        <w:t>Up</w:t>
      </w:r>
    </w:p>
    <w:p w14:paraId="68DD2FAC" w14:textId="77777777" w:rsidR="00E45534" w:rsidRPr="00E719C9" w:rsidRDefault="00E45534" w:rsidP="00E45534">
      <w:r w:rsidRPr="00E719C9">
        <w:t>The work of a SOAR provider does not end after submitting a</w:t>
      </w:r>
      <w:r w:rsidR="00D0393F">
        <w:t>n</w:t>
      </w:r>
      <w:r w:rsidRPr="00E719C9">
        <w:t xml:space="preserve"> application. SOAR providers are expected to:</w:t>
      </w:r>
    </w:p>
    <w:p w14:paraId="087AC815" w14:textId="77777777" w:rsidR="00E45534" w:rsidRPr="00E719C9" w:rsidRDefault="0033186E" w:rsidP="00E45534">
      <w:pPr>
        <w:pStyle w:val="ListParagraph"/>
      </w:pPr>
      <w:r>
        <w:t>Communicate</w:t>
      </w:r>
      <w:r w:rsidR="00D0393F" w:rsidRPr="00E719C9">
        <w:t xml:space="preserve"> </w:t>
      </w:r>
      <w:r w:rsidR="00E45534" w:rsidRPr="00E719C9">
        <w:t>regularly with SSA and DDS regarding the status of applicants’ claims.</w:t>
      </w:r>
    </w:p>
    <w:p w14:paraId="695A8500" w14:textId="6D35E4A6" w:rsidR="00E45534" w:rsidRPr="00E719C9" w:rsidRDefault="0033186E" w:rsidP="00E45534">
      <w:pPr>
        <w:pStyle w:val="ListParagraph"/>
      </w:pPr>
      <w:r>
        <w:t>Continue</w:t>
      </w:r>
      <w:r w:rsidR="00D0393F" w:rsidRPr="00E719C9">
        <w:t xml:space="preserve"> </w:t>
      </w:r>
      <w:r w:rsidR="00D26448">
        <w:t>ongoing outreach</w:t>
      </w:r>
      <w:r w:rsidR="00E45534" w:rsidRPr="00E719C9">
        <w:t xml:space="preserve"> to stay connected throughout the determination process.</w:t>
      </w:r>
    </w:p>
    <w:p w14:paraId="50AD33C1" w14:textId="4791AA9E" w:rsidR="00E45534" w:rsidRPr="00420C11" w:rsidRDefault="0033186E" w:rsidP="00420C11">
      <w:pPr>
        <w:pStyle w:val="ListParagraph"/>
      </w:pPr>
      <w:r>
        <w:t>Help</w:t>
      </w:r>
      <w:r w:rsidR="00D0393F" w:rsidRPr="00E719C9">
        <w:t xml:space="preserve"> </w:t>
      </w:r>
      <w:r w:rsidR="00E45534" w:rsidRPr="00E719C9">
        <w:t>individuals obtain other needed services (</w:t>
      </w:r>
      <w:r w:rsidR="00420C11">
        <w:t>e.g.</w:t>
      </w:r>
      <w:r w:rsidR="00E45534" w:rsidRPr="00E719C9">
        <w:t xml:space="preserve"> housing, employment, health care).</w:t>
      </w:r>
      <w:r w:rsidR="00E45534" w:rsidRPr="00E719C9" w:rsidDel="00762D65">
        <w:t xml:space="preserve"> </w:t>
      </w:r>
    </w:p>
    <w:p w14:paraId="1FA75C64" w14:textId="77777777" w:rsidR="00E45534" w:rsidRPr="00E719C9" w:rsidRDefault="00E45534" w:rsidP="00E45534">
      <w:pPr>
        <w:pStyle w:val="Heading1"/>
      </w:pPr>
      <w:r w:rsidRPr="00E719C9">
        <w:t xml:space="preserve">Outcome Tracking </w:t>
      </w:r>
    </w:p>
    <w:p w14:paraId="729023AB" w14:textId="77777777" w:rsidR="00E45534" w:rsidRPr="00E719C9" w:rsidRDefault="00E45534" w:rsidP="00E45534">
      <w:r w:rsidRPr="00E719C9">
        <w:t>Tracking SOAR outcomes is a critical way to document successes and target technical assistance needs.</w:t>
      </w:r>
    </w:p>
    <w:p w14:paraId="1EB551EE" w14:textId="77777777" w:rsidR="00E45534" w:rsidRPr="00E719C9" w:rsidRDefault="00CB4716" w:rsidP="00CB4716">
      <w:pPr>
        <w:pStyle w:val="ListParagraph"/>
      </w:pPr>
      <w:r>
        <w:t>Use the SOAR Online Application Tracking (OAT)</w:t>
      </w:r>
      <w:r w:rsidR="00E45534" w:rsidRPr="00E719C9">
        <w:t xml:space="preserve"> system</w:t>
      </w:r>
      <w:r>
        <w:rPr>
          <w:rStyle w:val="FootnoteReference"/>
        </w:rPr>
        <w:footnoteReference w:id="3"/>
      </w:r>
      <w:r w:rsidR="00E45534" w:rsidRPr="00E719C9">
        <w:t xml:space="preserve"> or your state’s preferred method to track applications </w:t>
      </w:r>
      <w:r w:rsidR="00221C8D">
        <w:t>submitted</w:t>
      </w:r>
      <w:r w:rsidR="00E45534" w:rsidRPr="00E719C9">
        <w:t xml:space="preserve">, critical components used, approvals/denials, and time to decision </w:t>
      </w:r>
      <w:r w:rsidR="00221C8D">
        <w:t xml:space="preserve">(i.e. </w:t>
      </w:r>
      <w:r w:rsidR="00E45534" w:rsidRPr="00E719C9">
        <w:t>from application submission to receipt of SSA’s decision</w:t>
      </w:r>
      <w:r w:rsidR="00221C8D">
        <w:t>)</w:t>
      </w:r>
      <w:r w:rsidR="00E45534" w:rsidRPr="00E719C9">
        <w:t>.</w:t>
      </w:r>
    </w:p>
    <w:p w14:paraId="2D14E636" w14:textId="77777777" w:rsidR="007D08F7" w:rsidRPr="0055465D" w:rsidRDefault="00E45534" w:rsidP="00E45534">
      <w:pPr>
        <w:pStyle w:val="ListParagraph"/>
      </w:pPr>
      <w:r w:rsidRPr="00E719C9">
        <w:rPr>
          <w:rFonts w:eastAsia="Times New Roman"/>
          <w:color w:val="000000"/>
          <w:shd w:val="clear" w:color="auto" w:fill="FFFFFF"/>
        </w:rPr>
        <w:t>Tracking outcomes is an essential piece of funding and sustainability efforts.</w:t>
      </w:r>
    </w:p>
    <w:p w14:paraId="15D07BCA" w14:textId="77777777" w:rsidR="000429EC" w:rsidRDefault="000429EC" w:rsidP="000429EC">
      <w:pPr>
        <w:pStyle w:val="Heading1"/>
      </w:pPr>
      <w:r>
        <w:t>Local Involvement</w:t>
      </w:r>
    </w:p>
    <w:p w14:paraId="7A29A382" w14:textId="77777777" w:rsidR="000429EC" w:rsidRDefault="000429EC" w:rsidP="0055465D">
      <w:r>
        <w:t xml:space="preserve">Many SOAR communities have local steering committees and/or SOAR practitioner meetings. Getting involved locally can be a great way to connect with others who are doing similar work. You can seek support, obtain refresher training and help with growing and expanding your local SOAR initiative. </w:t>
      </w:r>
    </w:p>
    <w:p w14:paraId="2A72BC19" w14:textId="331E7430" w:rsidR="00AD4475" w:rsidRDefault="000429EC" w:rsidP="00AD4475">
      <w:pPr>
        <w:pStyle w:val="ListParagraph"/>
        <w:numPr>
          <w:ilvl w:val="0"/>
          <w:numId w:val="15"/>
        </w:numPr>
      </w:pPr>
      <w:r>
        <w:t>Find you</w:t>
      </w:r>
      <w:r w:rsidR="00F87DFE">
        <w:t>r state and local SOAR leads at</w:t>
      </w:r>
      <w:r>
        <w:t xml:space="preserve">: </w:t>
      </w:r>
      <w:hyperlink r:id="rId12" w:history="1">
        <w:r w:rsidR="003757D6" w:rsidRPr="00B108FC">
          <w:rPr>
            <w:rStyle w:val="Hyperlink"/>
          </w:rPr>
          <w:t>https://soarworks.samhsa.gov/directory</w:t>
        </w:r>
      </w:hyperlink>
    </w:p>
    <w:p w14:paraId="0EA6C6F4" w14:textId="77777777" w:rsidR="003D2F36" w:rsidRPr="00571903" w:rsidRDefault="00AD4475" w:rsidP="003D2F36">
      <w:pPr>
        <w:pStyle w:val="Heading1"/>
      </w:pPr>
      <w:r>
        <w:t>Benefit to Your Agency</w:t>
      </w:r>
      <w:r w:rsidR="00A42934">
        <w:t xml:space="preserve"> and the Individuals You Serve</w:t>
      </w:r>
    </w:p>
    <w:p w14:paraId="2F2B3723" w14:textId="77777777" w:rsidR="002500AC" w:rsidRDefault="002500AC" w:rsidP="003D2F36">
      <w:r>
        <w:t>Access to SSI/SSDI can be</w:t>
      </w:r>
      <w:r w:rsidRPr="002500AC">
        <w:t xml:space="preserve"> a major tool in recovery, both from mental illness and homelessness. With</w:t>
      </w:r>
      <w:r w:rsidR="00F44BC7">
        <w:t xml:space="preserve"> the income support and health insurance that SSI/SSDI provides</w:t>
      </w:r>
      <w:r w:rsidRPr="002500AC">
        <w:t xml:space="preserve">, individuals </w:t>
      </w:r>
      <w:r w:rsidR="00F44BC7">
        <w:t>are</w:t>
      </w:r>
      <w:r w:rsidR="00A42934">
        <w:t xml:space="preserve"> able to meet their basic needs, maintain housing, and pay their bills.  As a result, they are </w:t>
      </w:r>
      <w:r w:rsidR="00F44BC7">
        <w:t xml:space="preserve">more likely </w:t>
      </w:r>
      <w:r>
        <w:t xml:space="preserve">to </w:t>
      </w:r>
      <w:r w:rsidR="00A42934">
        <w:t xml:space="preserve">keep appointments and </w:t>
      </w:r>
      <w:r>
        <w:t>engage in treatment</w:t>
      </w:r>
      <w:r w:rsidR="00E345F2">
        <w:t>.</w:t>
      </w:r>
      <w:r w:rsidR="00A42934">
        <w:t xml:space="preserve"> I</w:t>
      </w:r>
      <w:r w:rsidR="00F44BC7">
        <w:t xml:space="preserve">f </w:t>
      </w:r>
      <w:r w:rsidR="00F44BC7" w:rsidRPr="00571903">
        <w:t>your agency is Medicaid (or Medicare) reimbursable</w:t>
      </w:r>
      <w:r w:rsidR="00F44BC7" w:rsidRPr="00607F2C">
        <w:t xml:space="preserve">, you can recoup </w:t>
      </w:r>
      <w:r w:rsidR="00A42934" w:rsidRPr="00607F2C">
        <w:t xml:space="preserve">the cost of </w:t>
      </w:r>
      <w:r w:rsidR="00F44BC7" w:rsidRPr="00607F2C">
        <w:t>uncompensated</w:t>
      </w:r>
      <w:r w:rsidR="00E345F2" w:rsidRPr="00607F2C">
        <w:t xml:space="preserve"> care and receive payment for future services.</w:t>
      </w:r>
    </w:p>
    <w:p w14:paraId="27EF11E8" w14:textId="77777777" w:rsidR="002500AC" w:rsidRDefault="002500AC" w:rsidP="003D2F36"/>
    <w:p w14:paraId="198EC31B" w14:textId="37C184EF" w:rsidR="000429EC" w:rsidRDefault="003D2F36" w:rsidP="0055465D">
      <w:r w:rsidRPr="00571903">
        <w:t xml:space="preserve">Without </w:t>
      </w:r>
      <w:r w:rsidR="002500AC">
        <w:t>the support of a SOAR provider</w:t>
      </w:r>
      <w:r w:rsidRPr="00571903">
        <w:t xml:space="preserve">, </w:t>
      </w:r>
      <w:r w:rsidR="002500AC">
        <w:t xml:space="preserve">it can </w:t>
      </w:r>
      <w:r w:rsidRPr="00571903">
        <w:t xml:space="preserve">take </w:t>
      </w:r>
      <w:r w:rsidR="002500AC">
        <w:t>as long as 1</w:t>
      </w:r>
      <w:r w:rsidRPr="00571903">
        <w:t>-3 years to obtain approval</w:t>
      </w:r>
      <w:r w:rsidR="002500AC">
        <w:t xml:space="preserve"> for SSI/SSDI</w:t>
      </w:r>
      <w:r w:rsidRPr="00571903">
        <w:t xml:space="preserve">, during which time people are </w:t>
      </w:r>
      <w:r w:rsidR="004602DF">
        <w:t xml:space="preserve">often </w:t>
      </w:r>
      <w:r w:rsidRPr="00571903">
        <w:t xml:space="preserve">lost to the process and require a great deal of community support simply to survive. With the SOAR approach, </w:t>
      </w:r>
      <w:r w:rsidR="00D26448">
        <w:t>providers are achieving</w:t>
      </w:r>
      <w:r>
        <w:t xml:space="preserve"> </w:t>
      </w:r>
      <w:r w:rsidR="008957FB">
        <w:t>a</w:t>
      </w:r>
      <w:r w:rsidR="00217FE6">
        <w:t xml:space="preserve"> national </w:t>
      </w:r>
      <w:r>
        <w:t>approval</w:t>
      </w:r>
      <w:r w:rsidR="008957FB">
        <w:t xml:space="preserve"> rate</w:t>
      </w:r>
      <w:r w:rsidR="00D26448">
        <w:t xml:space="preserve"> of 65</w:t>
      </w:r>
      <w:r w:rsidR="00217FE6">
        <w:t xml:space="preserve"> percent</w:t>
      </w:r>
      <w:r w:rsidR="008957FB">
        <w:t xml:space="preserve"> in an </w:t>
      </w:r>
      <w:r>
        <w:t xml:space="preserve">average </w:t>
      </w:r>
      <w:r w:rsidR="00217FE6">
        <w:t>of</w:t>
      </w:r>
      <w:r w:rsidR="00D26448">
        <w:t xml:space="preserve"> 100 days. T</w:t>
      </w:r>
      <w:r w:rsidRPr="00571903">
        <w:t>he rewa</w:t>
      </w:r>
      <w:r w:rsidR="00A42934">
        <w:t>rds are great for all involved!</w:t>
      </w:r>
    </w:p>
    <w:sectPr w:rsidR="000429EC" w:rsidSect="00890D00">
      <w:headerReference w:type="default" r:id="rId13"/>
      <w:footerReference w:type="default" r:id="rId14"/>
      <w:pgSz w:w="12240" w:h="15840"/>
      <w:pgMar w:top="1008" w:right="864" w:bottom="1008" w:left="864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07A2F" w14:textId="77777777" w:rsidR="00B77E83" w:rsidRDefault="00B77E83" w:rsidP="000D67CA">
      <w:r>
        <w:separator/>
      </w:r>
    </w:p>
  </w:endnote>
  <w:endnote w:type="continuationSeparator" w:id="0">
    <w:p w14:paraId="2CD6E769" w14:textId="77777777" w:rsidR="00B77E83" w:rsidRDefault="00B77E83" w:rsidP="000D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07D99" w14:textId="1D9FE629" w:rsidR="00683CB9" w:rsidRPr="00122540" w:rsidRDefault="00122540" w:rsidP="00683CB9">
    <w:pPr>
      <w:pStyle w:val="Footer"/>
      <w:pBdr>
        <w:top w:val="single" w:sz="4" w:space="1" w:color="2F5496" w:themeColor="accent5" w:themeShade="BF"/>
      </w:pBdr>
      <w:tabs>
        <w:tab w:val="clear" w:pos="4320"/>
        <w:tab w:val="clear" w:pos="8640"/>
        <w:tab w:val="right" w:pos="10440"/>
      </w:tabs>
      <w:ind w:left="-90"/>
      <w:rPr>
        <w:noProof/>
      </w:rPr>
    </w:pPr>
    <w:r>
      <w:rPr>
        <w:noProof/>
      </w:rPr>
      <w:t>SSI/SSDI Outreach, Access and Recovery (SOAR) Technical Assistance Center</w:t>
    </w:r>
    <w:r>
      <w:rPr>
        <w:noProof/>
      </w:rPr>
      <w:tab/>
    </w:r>
    <w:r w:rsidR="003757D6">
      <w:rPr>
        <w:noProof/>
      </w:rPr>
      <w:t>October 6,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B86A7" w14:textId="77777777" w:rsidR="00B77E83" w:rsidRDefault="00B77E83" w:rsidP="000D67CA">
      <w:r>
        <w:separator/>
      </w:r>
    </w:p>
  </w:footnote>
  <w:footnote w:type="continuationSeparator" w:id="0">
    <w:p w14:paraId="22FCF374" w14:textId="77777777" w:rsidR="00B77E83" w:rsidRDefault="00B77E83" w:rsidP="000D67CA">
      <w:r>
        <w:continuationSeparator/>
      </w:r>
    </w:p>
  </w:footnote>
  <w:footnote w:id="1">
    <w:p w14:paraId="2D2A7DDA" w14:textId="4C3A2FC9" w:rsidR="00487CB6" w:rsidRPr="0055465D" w:rsidRDefault="003757D6">
      <w:pPr>
        <w:pStyle w:val="FootnoteText"/>
        <w:rPr>
          <w:rFonts w:asciiTheme="minorHAnsi" w:hAnsiTheme="minorHAnsi"/>
        </w:rPr>
      </w:pPr>
      <w:r w:rsidRPr="00A1731C">
        <w:rPr>
          <w:rFonts w:asciiTheme="minorHAnsi" w:hAnsiTheme="minorHAnsi"/>
          <w:vertAlign w:val="superscript"/>
        </w:rPr>
        <w:footnoteRef/>
      </w:r>
      <w:r w:rsidRPr="00A1731C">
        <w:rPr>
          <w:rFonts w:asciiTheme="minorHAnsi" w:hAnsiTheme="minorHAnsi"/>
        </w:rPr>
        <w:t xml:space="preserve"> </w:t>
      </w:r>
      <w:hyperlink r:id="rId1" w:history="1">
        <w:r w:rsidRPr="00A1731C">
          <w:rPr>
            <w:rStyle w:val="Hyperlink"/>
            <w:rFonts w:asciiTheme="minorHAnsi" w:hAnsiTheme="minorHAnsi"/>
          </w:rPr>
          <w:t>https://soarworks.samhsa.gov/article/soar-model-critical-components</w:t>
        </w:r>
      </w:hyperlink>
      <w:r w:rsidR="0011124F">
        <w:rPr>
          <w:rFonts w:asciiTheme="minorHAnsi" w:hAnsiTheme="minorHAnsi"/>
        </w:rPr>
        <w:t xml:space="preserve"> </w:t>
      </w:r>
    </w:p>
  </w:footnote>
  <w:footnote w:id="2">
    <w:p w14:paraId="522ADCBA" w14:textId="6E3975D3" w:rsidR="00487CB6" w:rsidRDefault="00487CB6">
      <w:pPr>
        <w:pStyle w:val="FootnoteText"/>
      </w:pPr>
      <w:r w:rsidRPr="0055465D">
        <w:rPr>
          <w:rStyle w:val="FootnoteReference"/>
          <w:rFonts w:asciiTheme="minorHAnsi" w:hAnsiTheme="minorHAnsi"/>
        </w:rPr>
        <w:footnoteRef/>
      </w:r>
      <w:r w:rsidRPr="0055465D">
        <w:rPr>
          <w:rFonts w:asciiTheme="minorHAnsi" w:hAnsiTheme="minorHAnsi"/>
        </w:rPr>
        <w:t xml:space="preserve"> Based on data from January 15, 2005 to February 14, 2014 </w:t>
      </w:r>
      <w:r w:rsidR="00D26448">
        <w:rPr>
          <w:rFonts w:asciiTheme="minorHAnsi" w:hAnsiTheme="minorHAnsi"/>
        </w:rPr>
        <w:t>obtained</w:t>
      </w:r>
      <w:r w:rsidRPr="0055465D">
        <w:rPr>
          <w:rFonts w:asciiTheme="minorHAnsi" w:hAnsiTheme="minorHAnsi"/>
        </w:rPr>
        <w:t xml:space="preserve"> from the SOAR Online App</w:t>
      </w:r>
      <w:r w:rsidR="0011124F">
        <w:rPr>
          <w:rFonts w:asciiTheme="minorHAnsi" w:hAnsiTheme="minorHAnsi"/>
        </w:rPr>
        <w:t xml:space="preserve">lication Tracking (OAT) system. </w:t>
      </w:r>
      <w:r w:rsidRPr="0055465D">
        <w:rPr>
          <w:rFonts w:asciiTheme="minorHAnsi" w:hAnsiTheme="minorHAnsi"/>
        </w:rPr>
        <w:t>Data includes 4,200 application outcomes from 35 states.</w:t>
      </w:r>
    </w:p>
  </w:footnote>
  <w:footnote w:id="3">
    <w:p w14:paraId="51629ED1" w14:textId="5EE28240" w:rsidR="00CB4716" w:rsidRPr="00E345F2" w:rsidRDefault="00CB4716">
      <w:pPr>
        <w:pStyle w:val="FootnoteText"/>
        <w:rPr>
          <w:rFonts w:asciiTheme="minorHAnsi" w:hAnsiTheme="minorHAnsi"/>
        </w:rPr>
      </w:pPr>
      <w:r w:rsidRPr="00E345F2">
        <w:rPr>
          <w:rStyle w:val="FootnoteReference"/>
          <w:rFonts w:asciiTheme="minorHAnsi" w:hAnsiTheme="minorHAnsi"/>
        </w:rPr>
        <w:footnoteRef/>
      </w:r>
      <w:r w:rsidRPr="00E345F2">
        <w:rPr>
          <w:rFonts w:asciiTheme="minorHAnsi" w:hAnsiTheme="minorHAnsi"/>
        </w:rPr>
        <w:t xml:space="preserve"> </w:t>
      </w:r>
      <w:hyperlink r:id="rId2" w:history="1">
        <w:r w:rsidR="003757D6" w:rsidRPr="003757D6">
          <w:rPr>
            <w:rStyle w:val="Hyperlink"/>
            <w:rFonts w:asciiTheme="minorHAnsi" w:hAnsiTheme="minorHAnsi"/>
          </w:rPr>
          <w:t>https://soartrack.samhsa.gov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E1F2A" w14:textId="0A78B98D" w:rsidR="006B1297" w:rsidRDefault="006B1297" w:rsidP="00D03A9F">
    <w:pPr>
      <w:tabs>
        <w:tab w:val="right" w:pos="10080"/>
      </w:tabs>
    </w:pPr>
    <w:r w:rsidRPr="00C8539D">
      <w:rPr>
        <w:noProof/>
      </w:rPr>
      <w:drawing>
        <wp:anchor distT="0" distB="0" distL="114300" distR="114300" simplePos="0" relativeHeight="251659264" behindDoc="1" locked="0" layoutInCell="1" allowOverlap="1" wp14:anchorId="6F48112B" wp14:editId="3AC78739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2004060" cy="596900"/>
          <wp:effectExtent l="0" t="0" r="0" b="0"/>
          <wp:wrapNone/>
          <wp:docPr id="17" name="Picture 17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D03A9F">
      <w:rPr>
        <w:noProof/>
      </w:rPr>
      <w:drawing>
        <wp:inline distT="0" distB="0" distL="0" distR="0" wp14:anchorId="6D25E247" wp14:editId="59B53B4C">
          <wp:extent cx="1247775" cy="419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BE4B41" w14:textId="77777777" w:rsidR="00BF6141" w:rsidRDefault="00BF6141" w:rsidP="000D67CA">
    <w:pPr>
      <w:tabs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0DB4"/>
    <w:multiLevelType w:val="hybridMultilevel"/>
    <w:tmpl w:val="B62C44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53F7"/>
    <w:multiLevelType w:val="hybridMultilevel"/>
    <w:tmpl w:val="6106A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3B04"/>
    <w:multiLevelType w:val="hybridMultilevel"/>
    <w:tmpl w:val="0C0A4D32"/>
    <w:lvl w:ilvl="0" w:tplc="A6464A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5672D2">
      <w:start w:val="743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4E4C1B4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6389040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63A2BA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614884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766CC1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C8C62E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F0872AE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D7C38"/>
    <w:multiLevelType w:val="hybridMultilevel"/>
    <w:tmpl w:val="8D5A2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34880"/>
    <w:multiLevelType w:val="hybridMultilevel"/>
    <w:tmpl w:val="1466F4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5417B"/>
    <w:multiLevelType w:val="hybridMultilevel"/>
    <w:tmpl w:val="2C9249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42420"/>
    <w:multiLevelType w:val="hybridMultilevel"/>
    <w:tmpl w:val="6908D0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8BACC8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2A3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86C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C62E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2B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CE6B4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4FA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56779"/>
    <w:multiLevelType w:val="hybridMultilevel"/>
    <w:tmpl w:val="ED8CC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4258E5"/>
    <w:multiLevelType w:val="hybridMultilevel"/>
    <w:tmpl w:val="09E29C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B2D9B"/>
    <w:multiLevelType w:val="hybridMultilevel"/>
    <w:tmpl w:val="33F0F7F2"/>
    <w:lvl w:ilvl="0" w:tplc="9D02F7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460FE"/>
    <w:multiLevelType w:val="hybridMultilevel"/>
    <w:tmpl w:val="3110C4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B2CE7"/>
    <w:multiLevelType w:val="hybridMultilevel"/>
    <w:tmpl w:val="9DD444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61D9A"/>
    <w:multiLevelType w:val="hybridMultilevel"/>
    <w:tmpl w:val="F5CEA9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82431"/>
    <w:multiLevelType w:val="hybridMultilevel"/>
    <w:tmpl w:val="843A3AF6"/>
    <w:lvl w:ilvl="0" w:tplc="4616429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E44A10"/>
    <w:multiLevelType w:val="hybridMultilevel"/>
    <w:tmpl w:val="2F1E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16C00"/>
    <w:multiLevelType w:val="hybridMultilevel"/>
    <w:tmpl w:val="F410B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B5"/>
    <w:rsid w:val="00002875"/>
    <w:rsid w:val="000429EC"/>
    <w:rsid w:val="00063A66"/>
    <w:rsid w:val="00085C75"/>
    <w:rsid w:val="000C245F"/>
    <w:rsid w:val="000D05A8"/>
    <w:rsid w:val="000D67CA"/>
    <w:rsid w:val="000F76A3"/>
    <w:rsid w:val="001101C1"/>
    <w:rsid w:val="0011124F"/>
    <w:rsid w:val="00122540"/>
    <w:rsid w:val="00127D23"/>
    <w:rsid w:val="001739A7"/>
    <w:rsid w:val="00184015"/>
    <w:rsid w:val="001A1B27"/>
    <w:rsid w:val="001C0C4D"/>
    <w:rsid w:val="001C13E0"/>
    <w:rsid w:val="00217FE6"/>
    <w:rsid w:val="00221C8D"/>
    <w:rsid w:val="002500AC"/>
    <w:rsid w:val="00297CEB"/>
    <w:rsid w:val="002D6E71"/>
    <w:rsid w:val="002E23CC"/>
    <w:rsid w:val="00302695"/>
    <w:rsid w:val="0033186E"/>
    <w:rsid w:val="003423B5"/>
    <w:rsid w:val="003757D6"/>
    <w:rsid w:val="00383DE4"/>
    <w:rsid w:val="003A5895"/>
    <w:rsid w:val="003D2F36"/>
    <w:rsid w:val="00414C1F"/>
    <w:rsid w:val="00420C11"/>
    <w:rsid w:val="004236A9"/>
    <w:rsid w:val="004602DF"/>
    <w:rsid w:val="00487CB6"/>
    <w:rsid w:val="00543FBD"/>
    <w:rsid w:val="005500DA"/>
    <w:rsid w:val="0055465D"/>
    <w:rsid w:val="005C44D0"/>
    <w:rsid w:val="00607F2C"/>
    <w:rsid w:val="00634C4E"/>
    <w:rsid w:val="00683CB9"/>
    <w:rsid w:val="006847F2"/>
    <w:rsid w:val="00684E3D"/>
    <w:rsid w:val="006B1297"/>
    <w:rsid w:val="00786955"/>
    <w:rsid w:val="007C3072"/>
    <w:rsid w:val="007D08F7"/>
    <w:rsid w:val="007E102C"/>
    <w:rsid w:val="00841771"/>
    <w:rsid w:val="00857F44"/>
    <w:rsid w:val="00890D00"/>
    <w:rsid w:val="008957FB"/>
    <w:rsid w:val="008C126E"/>
    <w:rsid w:val="008E0557"/>
    <w:rsid w:val="00904B5E"/>
    <w:rsid w:val="0091380F"/>
    <w:rsid w:val="009A152D"/>
    <w:rsid w:val="009B7917"/>
    <w:rsid w:val="009D6E15"/>
    <w:rsid w:val="00A06DCD"/>
    <w:rsid w:val="00A072B3"/>
    <w:rsid w:val="00A16996"/>
    <w:rsid w:val="00A1731C"/>
    <w:rsid w:val="00A42934"/>
    <w:rsid w:val="00A6741B"/>
    <w:rsid w:val="00A904B1"/>
    <w:rsid w:val="00AD4475"/>
    <w:rsid w:val="00AF246B"/>
    <w:rsid w:val="00B642DA"/>
    <w:rsid w:val="00B77E83"/>
    <w:rsid w:val="00B80290"/>
    <w:rsid w:val="00BC0897"/>
    <w:rsid w:val="00BF6141"/>
    <w:rsid w:val="00C13256"/>
    <w:rsid w:val="00C34E62"/>
    <w:rsid w:val="00CB4716"/>
    <w:rsid w:val="00CD7631"/>
    <w:rsid w:val="00CF404E"/>
    <w:rsid w:val="00CF6656"/>
    <w:rsid w:val="00CF701B"/>
    <w:rsid w:val="00D0393F"/>
    <w:rsid w:val="00D03A9F"/>
    <w:rsid w:val="00D26448"/>
    <w:rsid w:val="00D61420"/>
    <w:rsid w:val="00D72FFD"/>
    <w:rsid w:val="00D7479D"/>
    <w:rsid w:val="00DA2AE3"/>
    <w:rsid w:val="00DB2297"/>
    <w:rsid w:val="00DB4570"/>
    <w:rsid w:val="00DB4F9E"/>
    <w:rsid w:val="00DC636A"/>
    <w:rsid w:val="00DD3142"/>
    <w:rsid w:val="00E1580C"/>
    <w:rsid w:val="00E345F2"/>
    <w:rsid w:val="00E45534"/>
    <w:rsid w:val="00E606EA"/>
    <w:rsid w:val="00E72E5C"/>
    <w:rsid w:val="00E80CAE"/>
    <w:rsid w:val="00EA48AA"/>
    <w:rsid w:val="00EF3AD3"/>
    <w:rsid w:val="00F35463"/>
    <w:rsid w:val="00F44BC7"/>
    <w:rsid w:val="00F74E8C"/>
    <w:rsid w:val="00F7668A"/>
    <w:rsid w:val="00F87DFE"/>
    <w:rsid w:val="00FB7D56"/>
    <w:rsid w:val="00F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4571E9"/>
  <w15:chartTrackingRefBased/>
  <w15:docId w15:val="{D532167B-55E4-4ABB-B25A-0A53B7F7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E15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7CA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E23CC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uiPriority w:val="34"/>
    <w:qFormat/>
    <w:rsid w:val="002E23C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E23CC"/>
  </w:style>
  <w:style w:type="character" w:customStyle="1" w:styleId="CommentTextChar">
    <w:name w:val="Comment Text Char"/>
    <w:link w:val="CommentText"/>
    <w:uiPriority w:val="99"/>
    <w:semiHidden/>
    <w:rsid w:val="002E23CC"/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23CC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qFormat/>
    <w:rsid w:val="002E23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23CC"/>
    <w:rPr>
      <w:rFonts w:ascii="Calibri" w:eastAsia="Calibri" w:hAnsi="Calibri" w:cs="Times New Roman"/>
      <w:sz w:val="24"/>
    </w:rPr>
  </w:style>
  <w:style w:type="character" w:styleId="CommentReference">
    <w:name w:val="annotation reference"/>
    <w:uiPriority w:val="99"/>
    <w:semiHidden/>
    <w:unhideWhenUsed/>
    <w:rsid w:val="002E23CC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23CC"/>
    <w:pPr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23CC"/>
    <w:rPr>
      <w:rFonts w:eastAsiaTheme="majorEastAsia" w:cstheme="majorBid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297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1297"/>
    <w:rPr>
      <w:rFonts w:asciiTheme="minorHAnsi" w:eastAsiaTheme="minorEastAsia" w:hAnsiTheme="minorHAnsi"/>
      <w:color w:val="5A5A5A" w:themeColor="text1" w:themeTint="A5"/>
      <w:spacing w:val="15"/>
      <w:sz w:val="24"/>
    </w:rPr>
  </w:style>
  <w:style w:type="character" w:styleId="Hyperlink">
    <w:name w:val="Hyperlink"/>
    <w:uiPriority w:val="99"/>
    <w:unhideWhenUsed/>
    <w:rsid w:val="002E23C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E23CC"/>
    <w:rPr>
      <w:color w:val="954F72"/>
      <w:u w:val="single"/>
    </w:rPr>
  </w:style>
  <w:style w:type="character" w:styleId="Strong">
    <w:name w:val="Strong"/>
    <w:uiPriority w:val="22"/>
    <w:qFormat/>
    <w:rsid w:val="002E23CC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3C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E23C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3C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7CA"/>
    <w:pPr>
      <w:numPr>
        <w:numId w:val="1"/>
      </w:num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0D67CA"/>
    <w:rPr>
      <w:rFonts w:asciiTheme="minorHAnsi" w:hAnsiTheme="minorHAns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6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1101C1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01C1"/>
    <w:rPr>
      <w:rFonts w:eastAsia="Times New Roman"/>
    </w:rPr>
  </w:style>
  <w:style w:type="character" w:styleId="FootnoteReference">
    <w:name w:val="footnote reference"/>
    <w:uiPriority w:val="99"/>
    <w:unhideWhenUsed/>
    <w:rsid w:val="001101C1"/>
    <w:rPr>
      <w:vertAlign w:val="superscript"/>
    </w:rPr>
  </w:style>
  <w:style w:type="paragraph" w:styleId="NoSpacing">
    <w:name w:val="No Spacing"/>
    <w:uiPriority w:val="1"/>
    <w:qFormat/>
    <w:rsid w:val="00E45534"/>
    <w:rPr>
      <w:rFonts w:ascii="Calibri" w:eastAsia="Calibri" w:hAnsi="Calibri"/>
      <w:sz w:val="24"/>
      <w:szCs w:val="22"/>
    </w:rPr>
  </w:style>
  <w:style w:type="paragraph" w:styleId="Revision">
    <w:name w:val="Revision"/>
    <w:hidden/>
    <w:uiPriority w:val="99"/>
    <w:semiHidden/>
    <w:rsid w:val="00607F2C"/>
    <w:rPr>
      <w:rFonts w:asciiTheme="minorHAnsi" w:hAnsiTheme="minorHAns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5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arworks.samhsa.gov/director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arworks.samhsa.gov/content/soar-online-course-catalo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oartrack.samhsa.gov" TargetMode="External"/><Relationship Id="rId1" Type="http://schemas.openxmlformats.org/officeDocument/2006/relationships/hyperlink" Target="https://soarworks.samhsa.gov/article/soar-model-critical-compone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289471CE8F84E8D778B17645D3CE1" ma:contentTypeVersion="13" ma:contentTypeDescription="Create a new document." ma:contentTypeScope="" ma:versionID="63865e41632aa55439856ce19121a555">
  <xsd:schema xmlns:xsd="http://www.w3.org/2001/XMLSchema" xmlns:xs="http://www.w3.org/2001/XMLSchema" xmlns:p="http://schemas.microsoft.com/office/2006/metadata/properties" xmlns:ns2="7557eede-73b7-462b-a86f-b30f146a99f4" xmlns:ns3="df1983df-aeaf-4222-b053-376ab4ecb4ed" targetNamespace="http://schemas.microsoft.com/office/2006/metadata/properties" ma:root="true" ma:fieldsID="ca7f359fd517f7f4eee01498500f4d79" ns2:_="" ns3:_="">
    <xsd:import namespace="7557eede-73b7-462b-a86f-b30f146a99f4"/>
    <xsd:import namespace="df1983df-aeaf-4222-b053-376ab4ecb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7eede-73b7-462b-a86f-b30f146a9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983df-aeaf-4222-b053-376ab4ecb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D425A7-58D8-47E4-A96D-4470D9604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8ABB5-BAD3-4A2C-BC2A-DAAC269A37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ACCDE5-01E6-47DA-BC2C-F57F223211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2B7755-4783-47C1-AB49-95C527ED3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7eede-73b7-462b-a86f-b30f146a99f4"/>
    <ds:schemaRef ds:uri="df1983df-aeaf-4222-b053-376ab4ecb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Policy Research Associates, Inc.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ssodergren</dc:creator>
  <cp:keywords/>
  <dc:description/>
  <cp:lastModifiedBy>Suzy Sodergren</cp:lastModifiedBy>
  <cp:revision>2</cp:revision>
  <cp:lastPrinted>2018-10-29T14:31:00Z</cp:lastPrinted>
  <dcterms:created xsi:type="dcterms:W3CDTF">2021-10-06T14:00:00Z</dcterms:created>
  <dcterms:modified xsi:type="dcterms:W3CDTF">2021-10-06T14:00:00Z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0x010100385289471CE8F84E8D778B17645D3CE1</vt:lpwstr>
  </property>
</Properties>
</file>